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29351" w14:textId="470DF79E" w:rsidR="00836381" w:rsidRDefault="0084211C" w:rsidP="00836381">
      <w:pPr>
        <w:spacing w:after="0" w:line="240" w:lineRule="auto"/>
        <w:rPr>
          <w:rFonts w:ascii="Verdana" w:eastAsia="Calibri" w:hAnsi="Verdana" w:cs="Times New Roman"/>
          <w:b/>
          <w:sz w:val="24"/>
          <w:szCs w:val="24"/>
          <w:lang w:eastAsia="de-DE"/>
        </w:rPr>
      </w:pPr>
      <w:r w:rsidRPr="0084211C">
        <w:rPr>
          <w:rFonts w:ascii="Verdana" w:eastAsia="Calibri" w:hAnsi="Verdana" w:cs="Times New Roman"/>
          <w:b/>
          <w:sz w:val="24"/>
          <w:szCs w:val="24"/>
          <w:lang w:eastAsia="de-DE"/>
        </w:rPr>
        <w:t>Nachehelicher Unterhalt: Stirbt der Unterhaltspflichtige, müssen die Erben zahlen</w:t>
      </w:r>
    </w:p>
    <w:p w14:paraId="1A7A21BA" w14:textId="77777777" w:rsidR="00213DFF" w:rsidRPr="00213DFF" w:rsidRDefault="00213DFF" w:rsidP="00213DFF">
      <w:pPr>
        <w:spacing w:after="0" w:line="240" w:lineRule="auto"/>
        <w:jc w:val="both"/>
        <w:rPr>
          <w:rFonts w:ascii="Verdana" w:eastAsia="Calibri" w:hAnsi="Verdana" w:cs="Times New Roman"/>
          <w:sz w:val="24"/>
          <w:szCs w:val="24"/>
          <w:lang w:eastAsia="de-DE"/>
        </w:rPr>
      </w:pPr>
    </w:p>
    <w:p w14:paraId="3B4B4391" w14:textId="77777777" w:rsidR="0084211C" w:rsidRPr="0084211C" w:rsidRDefault="00213DFF" w:rsidP="0084211C">
      <w:pPr>
        <w:spacing w:after="0" w:line="240" w:lineRule="auto"/>
        <w:jc w:val="both"/>
        <w:rPr>
          <w:rFonts w:ascii="Verdana" w:eastAsia="Calibri" w:hAnsi="Verdana" w:cs="Times New Roman"/>
          <w:iCs/>
          <w:sz w:val="24"/>
          <w:szCs w:val="24"/>
          <w:lang w:eastAsia="de-DE"/>
        </w:rPr>
      </w:pPr>
      <w:bookmarkStart w:id="0" w:name="_Hlk124327380"/>
      <w:r w:rsidRPr="00213DFF">
        <w:rPr>
          <w:rFonts w:ascii="Verdana" w:eastAsia="Calibri" w:hAnsi="Verdana" w:cs="Times New Roman"/>
          <w:i/>
          <w:iCs/>
          <w:sz w:val="24"/>
          <w:szCs w:val="24"/>
          <w:lang w:eastAsia="de-DE"/>
        </w:rPr>
        <w:t>Schleswig-Holsteinische Rechtsanwaltskammer</w:t>
      </w:r>
      <w:bookmarkEnd w:id="0"/>
      <w:r w:rsidRPr="00213DFF">
        <w:rPr>
          <w:rFonts w:ascii="Verdana" w:eastAsia="Calibri" w:hAnsi="Verdana" w:cs="Times New Roman"/>
          <w:i/>
          <w:iCs/>
          <w:sz w:val="24"/>
          <w:szCs w:val="24"/>
          <w:lang w:eastAsia="de-DE"/>
        </w:rPr>
        <w:t>.</w:t>
      </w:r>
      <w:r w:rsidRPr="00213DFF">
        <w:rPr>
          <w:rFonts w:ascii="Verdana" w:eastAsia="Calibri" w:hAnsi="Verdana" w:cs="Times New Roman"/>
          <w:iCs/>
          <w:sz w:val="24"/>
          <w:szCs w:val="24"/>
          <w:lang w:eastAsia="de-DE"/>
        </w:rPr>
        <w:t xml:space="preserve"> </w:t>
      </w:r>
      <w:r w:rsidR="0084211C" w:rsidRPr="0084211C">
        <w:rPr>
          <w:rFonts w:ascii="Verdana" w:eastAsia="Calibri" w:hAnsi="Verdana" w:cs="Times New Roman"/>
          <w:iCs/>
          <w:sz w:val="24"/>
          <w:szCs w:val="24"/>
          <w:lang w:eastAsia="de-DE"/>
        </w:rPr>
        <w:t>Viele Geschiedene, die nachehelichen Unterhalt erhalten, gehen davon aus, dass ihr Anspruch spätestens mit dem Tod des zahlungspflichtigen Ex-Gatten erlischt. Das kann ein teurer Irrtum sein: Unter Umständen sind nun dessen Erben, zum Beispiel die Kinder oder der neue Ehepartner, unterhaltspflichtig. Ein solcher Unterhaltsanspruch ist jedoch zeitlich begrenzt.</w:t>
      </w:r>
    </w:p>
    <w:p w14:paraId="516BF0D5"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35030F72" w14:textId="77777777" w:rsidR="0084211C" w:rsidRPr="0084211C" w:rsidRDefault="0084211C" w:rsidP="0084211C">
      <w:pPr>
        <w:spacing w:after="0" w:line="240" w:lineRule="auto"/>
        <w:jc w:val="both"/>
        <w:rPr>
          <w:rFonts w:ascii="Verdana" w:eastAsia="Calibri" w:hAnsi="Verdana" w:cs="Times New Roman"/>
          <w:b/>
          <w:iCs/>
          <w:sz w:val="24"/>
          <w:szCs w:val="24"/>
          <w:lang w:eastAsia="de-DE"/>
        </w:rPr>
      </w:pPr>
      <w:r w:rsidRPr="0084211C">
        <w:rPr>
          <w:rFonts w:ascii="Verdana" w:eastAsia="Calibri" w:hAnsi="Verdana" w:cs="Times New Roman"/>
          <w:b/>
          <w:iCs/>
          <w:sz w:val="24"/>
          <w:szCs w:val="24"/>
          <w:lang w:eastAsia="de-DE"/>
        </w:rPr>
        <w:t>Anspruch auf Unterhalt besteht fort</w:t>
      </w:r>
    </w:p>
    <w:p w14:paraId="517449C0"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r w:rsidRPr="0084211C">
        <w:rPr>
          <w:rFonts w:ascii="Verdana" w:eastAsia="Calibri" w:hAnsi="Verdana" w:cs="Times New Roman"/>
          <w:iCs/>
          <w:sz w:val="24"/>
          <w:szCs w:val="24"/>
          <w:lang w:eastAsia="de-DE"/>
        </w:rPr>
        <w:t>Zum Erbe eines Verstorbenen gehört nicht nur sein Vermögen, sondern auch etwaige Schulden. War die Person geschieden und schuldete einem Ex-Partner nachehelichen Ehegattenunterhalt, besteht dessen Anspruch nach dem Tod des Unterhaltspflichtigen grundsätzlich fort: Er geht als Nachlassverbindlichkeit auf den oder die Erben über. Bei nachehelichem Unterhalt handelt es sich um den Unterhalt, den ein Ex-Gatte nach Rechtskraft einer Scheidung fordern kann. Der Übergang der Unterhaltslast auf die Erben beim nachehelichen Unterhalt ist ein wichtiger Unterschied zum Anspruch auf Kindesunterhalt, der in der Regel nach dem Tod des Unterhaltspflichtigen nicht weitergezahlt werden muss.</w:t>
      </w:r>
    </w:p>
    <w:p w14:paraId="753E3392"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6E4D6CA9" w14:textId="096BC51B" w:rsidR="0084211C" w:rsidRPr="0084211C" w:rsidRDefault="0084211C" w:rsidP="0084211C">
      <w:pPr>
        <w:spacing w:after="0" w:line="240" w:lineRule="auto"/>
        <w:jc w:val="both"/>
        <w:rPr>
          <w:rFonts w:ascii="Verdana" w:eastAsia="Calibri" w:hAnsi="Verdana" w:cs="Times New Roman"/>
          <w:b/>
          <w:iCs/>
          <w:sz w:val="24"/>
          <w:szCs w:val="24"/>
          <w:lang w:eastAsia="de-DE"/>
        </w:rPr>
      </w:pPr>
      <w:r w:rsidRPr="0084211C">
        <w:rPr>
          <w:rFonts w:ascii="Verdana" w:eastAsia="Calibri" w:hAnsi="Verdana" w:cs="Times New Roman"/>
          <w:b/>
          <w:iCs/>
          <w:sz w:val="24"/>
          <w:szCs w:val="24"/>
          <w:lang w:eastAsia="de-DE"/>
        </w:rPr>
        <w:t>Unterhaltshöhe ist begrenzt</w:t>
      </w:r>
    </w:p>
    <w:p w14:paraId="2B4E7CB7"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r w:rsidRPr="0084211C">
        <w:rPr>
          <w:rFonts w:ascii="Verdana" w:eastAsia="Calibri" w:hAnsi="Verdana" w:cs="Times New Roman"/>
          <w:iCs/>
          <w:sz w:val="24"/>
          <w:szCs w:val="24"/>
          <w:lang w:eastAsia="de-DE"/>
        </w:rPr>
        <w:t>Unterhaltszahlungen werden in monatlichen Beträgen geschuldet. Eine Erbschaft ist aber auf das Vermögen begrenzt, dass der Erblasser zum Zeitpunkt seines Todes besaß. Erben müssen nachehelichen Unterhalt daher nur so lange weiterzahlen, bis die Summe aller monatlichen Zahlungen dem fiktiven Pflichtteil des Ex-Gatten entspricht. Gemeint ist der Betrag, den der Ex-Gatte erhalten könnte, wenn die Ehe nicht geschieden, er aber enterbt worden wäre. Der Pflichtteil beträgt im Zusammenhang mit dem nachehelichen Unterhalt ein Achtel des bereinigten Nachlasswertes.</w:t>
      </w:r>
    </w:p>
    <w:p w14:paraId="7D1352EA"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6960E46D"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45280888" w14:textId="77777777" w:rsidR="0084211C" w:rsidRPr="0084211C" w:rsidRDefault="0084211C" w:rsidP="0084211C">
      <w:pPr>
        <w:spacing w:after="0" w:line="240" w:lineRule="auto"/>
        <w:jc w:val="both"/>
        <w:rPr>
          <w:rFonts w:ascii="Verdana" w:eastAsia="Calibri" w:hAnsi="Verdana" w:cs="Times New Roman"/>
          <w:b/>
          <w:iCs/>
          <w:sz w:val="24"/>
          <w:szCs w:val="24"/>
          <w:lang w:eastAsia="de-DE"/>
        </w:rPr>
      </w:pPr>
      <w:r w:rsidRPr="0084211C">
        <w:rPr>
          <w:rFonts w:ascii="Verdana" w:eastAsia="Calibri" w:hAnsi="Verdana" w:cs="Times New Roman"/>
          <w:b/>
          <w:iCs/>
          <w:sz w:val="24"/>
          <w:szCs w:val="24"/>
          <w:lang w:eastAsia="de-DE"/>
        </w:rPr>
        <w:lastRenderedPageBreak/>
        <w:t>Nachlassvermögen überprüfen lassen</w:t>
      </w:r>
    </w:p>
    <w:p w14:paraId="2BDC2891"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r w:rsidRPr="0084211C">
        <w:rPr>
          <w:rFonts w:ascii="Verdana" w:eastAsia="Calibri" w:hAnsi="Verdana" w:cs="Times New Roman"/>
          <w:iCs/>
          <w:sz w:val="24"/>
          <w:szCs w:val="24"/>
          <w:lang w:eastAsia="de-DE"/>
        </w:rPr>
        <w:t>Generell besteht ein Anspruch auf Weiterzahlung des nachehelichen Unterhalts nur, wenn der Verstorbene überhaupt nennenswertes Vermögen hinterlassen hat. Da der unterhaltsberechtigte Ex-Ehepartner oft keine genauen Kenntnisse vom Vermögen des Verstorbenen hat, kann sich eine rechtliche Überprüfung lohnen. Außerdem muss der Berechtigte weiterhin bedürftig sein. Sinkt seine Bedürftigkeit beispielsweise aufgrund von Leistungen, die er als Folge des Todes des Ex-Partners erhält, oder aufgrund anderer Umstände später, ist dies bei der Berechnung des Unterhaltsanspruchs zu berücksichtigen.</w:t>
      </w:r>
    </w:p>
    <w:p w14:paraId="380D1061"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683A1A93" w14:textId="491704A7" w:rsidR="0084211C" w:rsidRPr="0084211C" w:rsidRDefault="0084211C" w:rsidP="0084211C">
      <w:pPr>
        <w:spacing w:after="0" w:line="240" w:lineRule="auto"/>
        <w:jc w:val="both"/>
        <w:rPr>
          <w:rFonts w:ascii="Verdana" w:eastAsia="Calibri" w:hAnsi="Verdana" w:cs="Times New Roman"/>
          <w:iCs/>
          <w:sz w:val="24"/>
          <w:szCs w:val="24"/>
          <w:lang w:eastAsia="de-DE"/>
        </w:rPr>
      </w:pPr>
      <w:r w:rsidRPr="0084211C">
        <w:rPr>
          <w:rFonts w:ascii="Verdana" w:eastAsia="Calibri" w:hAnsi="Verdana" w:cs="Times New Roman"/>
          <w:iCs/>
          <w:sz w:val="24"/>
          <w:szCs w:val="24"/>
          <w:lang w:eastAsia="de-DE"/>
        </w:rPr>
        <w:t xml:space="preserve">Sollte der </w:t>
      </w:r>
      <w:r w:rsidR="00973D3B">
        <w:rPr>
          <w:rFonts w:ascii="Verdana" w:eastAsia="Calibri" w:hAnsi="Verdana" w:cs="Times New Roman"/>
          <w:iCs/>
          <w:sz w:val="24"/>
          <w:szCs w:val="24"/>
          <w:lang w:eastAsia="de-DE"/>
        </w:rPr>
        <w:t>U</w:t>
      </w:r>
      <w:bookmarkStart w:id="1" w:name="_GoBack"/>
      <w:bookmarkEnd w:id="1"/>
      <w:r w:rsidRPr="0084211C">
        <w:rPr>
          <w:rFonts w:ascii="Verdana" w:eastAsia="Calibri" w:hAnsi="Verdana" w:cs="Times New Roman"/>
          <w:iCs/>
          <w:sz w:val="24"/>
          <w:szCs w:val="24"/>
          <w:lang w:eastAsia="de-DE"/>
        </w:rPr>
        <w:t>nterhaltsberechtigte zu Lebzeiten gegenüber seinem Ex-Partner vertraglich auf Erb- beziehungsweise Pflichtteilsansprüche verzichtet haben, so muss ebenfalls überprüft werden, ob dies auch zum Verlust der nachehelichen Unterhaltsansprüche geführt haben kann.</w:t>
      </w:r>
    </w:p>
    <w:p w14:paraId="181A623B" w14:textId="77777777" w:rsidR="0084211C" w:rsidRPr="0084211C" w:rsidRDefault="0084211C" w:rsidP="0084211C">
      <w:pPr>
        <w:spacing w:after="0" w:line="240" w:lineRule="auto"/>
        <w:jc w:val="both"/>
        <w:rPr>
          <w:rFonts w:ascii="Verdana" w:eastAsia="Calibri" w:hAnsi="Verdana" w:cs="Times New Roman"/>
          <w:iCs/>
          <w:sz w:val="24"/>
          <w:szCs w:val="24"/>
          <w:lang w:eastAsia="de-DE"/>
        </w:rPr>
      </w:pPr>
    </w:p>
    <w:p w14:paraId="29F41384" w14:textId="39768810" w:rsidR="000175E7" w:rsidRDefault="0084211C" w:rsidP="00015275">
      <w:pPr>
        <w:spacing w:after="0" w:line="240" w:lineRule="auto"/>
        <w:jc w:val="both"/>
        <w:rPr>
          <w:rFonts w:ascii="Verdana" w:eastAsia="Calibri" w:hAnsi="Verdana" w:cs="Times New Roman"/>
          <w:iCs/>
          <w:sz w:val="24"/>
          <w:szCs w:val="24"/>
          <w:lang w:eastAsia="de-DE"/>
        </w:rPr>
      </w:pPr>
      <w:r w:rsidRPr="0084211C">
        <w:rPr>
          <w:rFonts w:ascii="Verdana" w:eastAsia="Calibri" w:hAnsi="Verdana" w:cs="Times New Roman"/>
          <w:iCs/>
          <w:sz w:val="24"/>
          <w:szCs w:val="24"/>
          <w:lang w:eastAsia="de-DE"/>
        </w:rPr>
        <w:t>Die Fortzahlung des nachehelichen Unterhalts soll dem Unterhaltsberechtigten ermöglichen, noch eine Zeit lang zu seinem Recht zu kommen und sich dabei auf das absehbare Ende seines Anspruchs einzustellen. Zugleich sollen aber auch die Erben nur in begrenztem Umfang durch die fortdauernde Unterhaltspflicht belastet werden.</w:t>
      </w:r>
    </w:p>
    <w:p w14:paraId="4E979542" w14:textId="2845F2D3" w:rsidR="00EA46F5" w:rsidRDefault="00EA46F5" w:rsidP="003E7636">
      <w:pPr>
        <w:spacing w:after="0" w:line="240" w:lineRule="auto"/>
        <w:jc w:val="both"/>
        <w:rPr>
          <w:rFonts w:ascii="Verdana" w:eastAsia="Calibri" w:hAnsi="Verdana" w:cs="Times New Roman"/>
          <w:iCs/>
          <w:sz w:val="24"/>
          <w:szCs w:val="24"/>
          <w:lang w:eastAsia="de-DE"/>
        </w:rPr>
      </w:pPr>
    </w:p>
    <w:p w14:paraId="0F496CC5" w14:textId="36AD4B2C" w:rsidR="00213DFF" w:rsidRPr="00213DFF" w:rsidRDefault="00EA46F5" w:rsidP="00EA46F5">
      <w:pPr>
        <w:spacing w:after="0" w:line="240" w:lineRule="auto"/>
        <w:jc w:val="both"/>
        <w:rPr>
          <w:rFonts w:ascii="Verdana" w:eastAsia="SimSun" w:hAnsi="Verdana" w:cs="Arial"/>
          <w:sz w:val="24"/>
          <w:szCs w:val="24"/>
          <w:lang w:eastAsia="ar-SA"/>
        </w:rPr>
      </w:pPr>
      <w:r w:rsidRPr="00EA46F5">
        <w:rPr>
          <w:rFonts w:ascii="Verdana" w:eastAsia="Calibri" w:hAnsi="Verdana" w:cs="Times New Roman"/>
          <w:iCs/>
          <w:sz w:val="24"/>
          <w:szCs w:val="24"/>
          <w:lang w:eastAsia="de-DE"/>
        </w:rPr>
        <w:t>Im Zweifelsfall sollten Sie sich von einer Rechtsanwältin oder einem Rechtsanwalt beraten lassen. Anwältinnen</w:t>
      </w:r>
      <w:r w:rsidR="00CC04A1">
        <w:rPr>
          <w:rFonts w:ascii="Verdana" w:hAnsi="Verdana"/>
          <w:sz w:val="24"/>
          <w:szCs w:val="24"/>
          <w:lang w:eastAsia="ar-SA"/>
        </w:rPr>
        <w:t xml:space="preserve"> und Anwälte </w:t>
      </w:r>
      <w:r w:rsidR="00CC04A1">
        <w:rPr>
          <w:rFonts w:ascii="Verdana" w:hAnsi="Verdana"/>
          <w:color w:val="000000"/>
          <w:sz w:val="24"/>
          <w:szCs w:val="24"/>
          <w:lang w:eastAsia="ar-SA"/>
        </w:rPr>
        <w:t xml:space="preserve">finden Sie über die Anwaltssuche der Schleswig-Holsteinischen Rechtsanwaltskammer im Internet </w:t>
      </w:r>
      <w:r w:rsidR="00CC04A1">
        <w:rPr>
          <w:rFonts w:ascii="Verdana" w:hAnsi="Verdana"/>
          <w:sz w:val="24"/>
          <w:szCs w:val="24"/>
          <w:lang w:eastAsia="ar-SA"/>
        </w:rPr>
        <w:t xml:space="preserve">unter </w:t>
      </w:r>
      <w:hyperlink r:id="rId7" w:history="1">
        <w:r w:rsidR="00CC04A1">
          <w:rPr>
            <w:rStyle w:val="Hyperlink"/>
            <w:rFonts w:ascii="Verdana" w:hAnsi="Verdana"/>
            <w:sz w:val="24"/>
            <w:szCs w:val="24"/>
          </w:rPr>
          <w:t>https://www.rak-sh.de/fuer-buerger/anwaltssuche/</w:t>
        </w:r>
      </w:hyperlink>
      <w:r w:rsidR="00CC04A1">
        <w:rPr>
          <w:rFonts w:ascii="Verdana" w:hAnsi="Verdana"/>
          <w:sz w:val="24"/>
          <w:szCs w:val="24"/>
        </w:rPr>
        <w:t>.</w:t>
      </w:r>
    </w:p>
    <w:p w14:paraId="0EDE7BB7" w14:textId="77777777" w:rsidR="00213DFF" w:rsidRPr="00213DFF" w:rsidRDefault="00213DFF" w:rsidP="00213DFF">
      <w:pPr>
        <w:spacing w:after="0" w:line="240" w:lineRule="auto"/>
        <w:jc w:val="both"/>
        <w:rPr>
          <w:rFonts w:ascii="Verdana" w:eastAsia="Calibri" w:hAnsi="Verdana" w:cs="Times New Roman"/>
          <w:sz w:val="24"/>
          <w:szCs w:val="24"/>
          <w:lang w:eastAsia="de-DE"/>
        </w:rPr>
      </w:pPr>
    </w:p>
    <w:p w14:paraId="083CCD29" w14:textId="77777777" w:rsidR="00213DFF" w:rsidRPr="00213DFF" w:rsidRDefault="00213DFF" w:rsidP="00213DFF">
      <w:pPr>
        <w:spacing w:after="0" w:line="240" w:lineRule="auto"/>
        <w:jc w:val="both"/>
        <w:rPr>
          <w:rFonts w:ascii="Verdana" w:eastAsia="Calibri" w:hAnsi="Verdana" w:cs="Times New Roman"/>
          <w:sz w:val="24"/>
          <w:szCs w:val="24"/>
          <w:lang w:eastAsia="de-DE"/>
        </w:rPr>
      </w:pPr>
      <w:r w:rsidRPr="00213DFF">
        <w:rPr>
          <w:rFonts w:ascii="Verdana" w:eastAsia="Calibri" w:hAnsi="Verdana" w:cs="Times New Roman"/>
          <w:sz w:val="24"/>
          <w:szCs w:val="24"/>
          <w:lang w:eastAsia="de-DE"/>
        </w:rPr>
        <w:t xml:space="preserve">Rechtsanwälte und Rechtsanwältinnen sind unabhängige Berater in allen Rechtsangelegenheiten. Sie vertreten </w:t>
      </w:r>
      <w:proofErr w:type="gramStart"/>
      <w:r w:rsidRPr="00213DFF">
        <w:rPr>
          <w:rFonts w:ascii="Verdana" w:eastAsia="Calibri" w:hAnsi="Verdana" w:cs="Times New Roman"/>
          <w:sz w:val="24"/>
          <w:szCs w:val="24"/>
          <w:lang w:eastAsia="de-DE"/>
        </w:rPr>
        <w:t>ausschließlich die Interessen</w:t>
      </w:r>
      <w:proofErr w:type="gramEnd"/>
      <w:r w:rsidRPr="00213DFF">
        <w:rPr>
          <w:rFonts w:ascii="Verdana" w:eastAsia="Calibri" w:hAnsi="Verdana" w:cs="Times New Roman"/>
          <w:sz w:val="24"/>
          <w:szCs w:val="24"/>
          <w:lang w:eastAsia="de-DE"/>
        </w:rPr>
        <w:t xml:space="preserve"> ihrer Mandantinnen und Mandanten, helfen bei der Durchsetzung oder Abwehr von Ansprüchen und erarbeiten wirtschaftlich vernünftige Lösungen. </w:t>
      </w:r>
      <w:r w:rsidRPr="00213DFF">
        <w:rPr>
          <w:rFonts w:ascii="Verdana" w:eastAsia="Calibri" w:hAnsi="Verdana" w:cs="Times New Roman"/>
          <w:sz w:val="24"/>
          <w:szCs w:val="24"/>
          <w:lang w:eastAsia="de-DE"/>
        </w:rPr>
        <w:lastRenderedPageBreak/>
        <w:t>Anwältinnen und Anwälte und ihre Mitarbeiter sind zur strikten Verschwiegenheit verpflichtet und dürfen auf keinen Fall das Vertrauen der Mandanten durch die Wahrnehmung widerstreitender Interessen enttäuschen.</w:t>
      </w:r>
    </w:p>
    <w:p w14:paraId="1F9761C8" w14:textId="77777777" w:rsidR="00213DFF" w:rsidRPr="00213DFF" w:rsidRDefault="00213DFF" w:rsidP="00213DFF">
      <w:pPr>
        <w:spacing w:after="0" w:line="240" w:lineRule="auto"/>
        <w:jc w:val="both"/>
        <w:rPr>
          <w:rFonts w:ascii="Verdana" w:eastAsia="Calibri" w:hAnsi="Verdana" w:cs="Times New Roman"/>
          <w:sz w:val="24"/>
          <w:szCs w:val="24"/>
          <w:lang w:eastAsia="de-DE"/>
        </w:rPr>
      </w:pPr>
    </w:p>
    <w:p w14:paraId="206663A0" w14:textId="4D93FA22" w:rsidR="002B7CC5" w:rsidRPr="002B7CC5" w:rsidRDefault="00424E38"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hAnsi="Verdana"/>
          <w:color w:val="0000FF"/>
          <w:sz w:val="24"/>
          <w:szCs w:val="24"/>
          <w:u w:val="single"/>
        </w:rPr>
      </w:pPr>
      <w:r w:rsidRPr="00424E38">
        <w:rPr>
          <w:rFonts w:ascii="Verdana" w:hAnsi="Verdana"/>
          <w:sz w:val="24"/>
          <w:szCs w:val="24"/>
        </w:rPr>
        <w:t>Besuchen Sie auch die Facebook-Seite der Schleswig-Holsteinischen Rechtsanwaltskammer</w:t>
      </w:r>
      <w:r w:rsidR="004F4594">
        <w:rPr>
          <w:rFonts w:ascii="Verdana" w:hAnsi="Verdana"/>
          <w:sz w:val="24"/>
          <w:szCs w:val="24"/>
        </w:rPr>
        <w:t xml:space="preserve"> unter</w:t>
      </w:r>
      <w:r w:rsidRPr="00424E38">
        <w:rPr>
          <w:rFonts w:ascii="Verdana" w:hAnsi="Verdana"/>
          <w:sz w:val="24"/>
          <w:szCs w:val="24"/>
        </w:rPr>
        <w:t xml:space="preserve"> </w:t>
      </w:r>
      <w:hyperlink r:id="rId8" w:history="1">
        <w:r w:rsidRPr="00424E38">
          <w:rPr>
            <w:rStyle w:val="Hyperlink"/>
            <w:rFonts w:ascii="Verdana" w:hAnsi="Verdana"/>
            <w:sz w:val="24"/>
          </w:rPr>
          <w:t>https://www.facebook.com/SH.Rechtsanwaltskammer</w:t>
        </w:r>
      </w:hyperlink>
      <w:r w:rsidRPr="00424E38">
        <w:rPr>
          <w:rFonts w:ascii="Verdana" w:hAnsi="Verdana"/>
          <w:sz w:val="24"/>
          <w:szCs w:val="24"/>
        </w:rPr>
        <w:t xml:space="preserve"> und das Online-Verbraucherportal unter </w:t>
      </w:r>
      <w:hyperlink r:id="rId9" w:history="1">
        <w:r w:rsidRPr="00424E38">
          <w:rPr>
            <w:rStyle w:val="Hyperlink"/>
            <w:rFonts w:ascii="Verdana" w:hAnsi="Verdana"/>
            <w:sz w:val="24"/>
            <w:szCs w:val="24"/>
          </w:rPr>
          <w:t>https://ihr-ratgeber-recht.de/</w:t>
        </w:r>
      </w:hyperlink>
      <w:r w:rsidR="002B7CC5">
        <w:rPr>
          <w:rFonts w:ascii="Verdana" w:hAnsi="Verdana"/>
          <w:szCs w:val="24"/>
        </w:rPr>
        <w:t>.</w:t>
      </w:r>
    </w:p>
    <w:p w14:paraId="2561F956" w14:textId="77777777" w:rsidR="00424E38" w:rsidRDefault="00424E38"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eastAsia="Calibri" w:hAnsi="Verdana" w:cs="Times New Roman"/>
          <w:sz w:val="24"/>
          <w:szCs w:val="24"/>
          <w:lang w:eastAsia="de-DE"/>
        </w:rPr>
      </w:pPr>
    </w:p>
    <w:p w14:paraId="41D42985" w14:textId="5BAA484E" w:rsidR="00213DFF" w:rsidRPr="00B869B4" w:rsidRDefault="00213DFF"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eastAsia="Calibri" w:hAnsi="Verdana" w:cs="Times New Roman"/>
          <w:sz w:val="24"/>
          <w:szCs w:val="24"/>
          <w:lang w:eastAsia="de-DE"/>
        </w:rPr>
      </w:pPr>
      <w:r w:rsidRPr="004816A3">
        <w:rPr>
          <w:rFonts w:ascii="Verdana" w:eastAsia="Calibri" w:hAnsi="Verdana" w:cs="Times New Roman"/>
          <w:sz w:val="24"/>
          <w:szCs w:val="24"/>
          <w:lang w:eastAsia="de-DE"/>
        </w:rPr>
        <w:t xml:space="preserve">Textumfang: </w:t>
      </w:r>
      <w:r w:rsidR="0084211C">
        <w:rPr>
          <w:rFonts w:ascii="Verdana" w:eastAsia="Calibri" w:hAnsi="Verdana" w:cs="Times New Roman"/>
          <w:sz w:val="24"/>
          <w:szCs w:val="24"/>
          <w:lang w:eastAsia="de-DE"/>
        </w:rPr>
        <w:t>3</w:t>
      </w:r>
      <w:r w:rsidR="000A1BBE" w:rsidRPr="004816A3">
        <w:rPr>
          <w:rFonts w:ascii="Verdana" w:eastAsia="Calibri" w:hAnsi="Verdana" w:cs="Times New Roman"/>
          <w:sz w:val="24"/>
          <w:szCs w:val="24"/>
          <w:lang w:eastAsia="de-DE"/>
        </w:rPr>
        <w:t>.</w:t>
      </w:r>
      <w:r w:rsidR="0084211C">
        <w:rPr>
          <w:rFonts w:ascii="Verdana" w:eastAsia="Calibri" w:hAnsi="Verdana" w:cs="Times New Roman"/>
          <w:sz w:val="24"/>
          <w:szCs w:val="24"/>
          <w:lang w:eastAsia="de-DE"/>
        </w:rPr>
        <w:t>85</w:t>
      </w:r>
      <w:r w:rsidR="00D85734">
        <w:rPr>
          <w:rFonts w:ascii="Verdana" w:eastAsia="Calibri" w:hAnsi="Verdana" w:cs="Times New Roman"/>
          <w:sz w:val="24"/>
          <w:szCs w:val="24"/>
          <w:lang w:eastAsia="de-DE"/>
        </w:rPr>
        <w:t>4</w:t>
      </w:r>
      <w:r w:rsidRPr="004816A3">
        <w:rPr>
          <w:rFonts w:ascii="Verdana" w:eastAsia="Calibri" w:hAnsi="Verdana" w:cs="Times New Roman"/>
          <w:sz w:val="24"/>
          <w:szCs w:val="24"/>
          <w:lang w:eastAsia="de-DE"/>
        </w:rPr>
        <w:t xml:space="preserve"> Zeichen</w:t>
      </w:r>
      <w:r w:rsidRPr="00B869B4">
        <w:rPr>
          <w:rFonts w:ascii="Verdana" w:eastAsia="Calibri" w:hAnsi="Verdana" w:cs="Times New Roman"/>
          <w:sz w:val="24"/>
          <w:szCs w:val="24"/>
          <w:lang w:eastAsia="de-DE"/>
        </w:rPr>
        <w:t xml:space="preserve"> inklusive Leerzeichen</w:t>
      </w:r>
    </w:p>
    <w:p w14:paraId="0349A6DE" w14:textId="77777777" w:rsidR="00213DFF" w:rsidRPr="00B869B4" w:rsidRDefault="00213DFF"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eastAsia="Calibri" w:hAnsi="Verdana" w:cs="Times New Roman"/>
          <w:color w:val="000000"/>
          <w:sz w:val="24"/>
          <w:szCs w:val="24"/>
          <w:lang w:eastAsia="de-DE"/>
        </w:rPr>
      </w:pPr>
    </w:p>
    <w:p w14:paraId="3B933411" w14:textId="77777777" w:rsidR="00213DFF" w:rsidRPr="00213DFF" w:rsidRDefault="00213DFF"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eastAsia="Calibri" w:hAnsi="Verdana" w:cs="Times New Roman"/>
          <w:color w:val="000000"/>
          <w:sz w:val="24"/>
          <w:szCs w:val="24"/>
          <w:lang w:eastAsia="de-DE"/>
        </w:rPr>
      </w:pPr>
      <w:r w:rsidRPr="00B869B4">
        <w:rPr>
          <w:rFonts w:ascii="Verdana" w:eastAsia="Calibri" w:hAnsi="Verdana" w:cs="Times New Roman"/>
          <w:color w:val="000000"/>
          <w:sz w:val="24"/>
          <w:szCs w:val="24"/>
          <w:lang w:eastAsia="de-DE"/>
        </w:rPr>
        <w:t>Bei Rückfragen</w:t>
      </w:r>
      <w:r w:rsidRPr="00213DFF">
        <w:rPr>
          <w:rFonts w:ascii="Verdana" w:eastAsia="Calibri" w:hAnsi="Verdana" w:cs="Times New Roman"/>
          <w:color w:val="000000"/>
          <w:sz w:val="24"/>
          <w:szCs w:val="24"/>
          <w:lang w:eastAsia="de-DE"/>
        </w:rPr>
        <w:t xml:space="preserve"> oder wenn Sie einen kompetenten Interviewpartner benötigen, steht Ihnen die Redaktion gern zur Verfügung:</w:t>
      </w:r>
    </w:p>
    <w:p w14:paraId="19414A78" w14:textId="77777777" w:rsidR="00213DFF" w:rsidRPr="00213DFF" w:rsidRDefault="00213DFF" w:rsidP="00213DFF">
      <w:pP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Verdana" w:eastAsia="Calibri" w:hAnsi="Verdana" w:cs="Times New Roman"/>
          <w:color w:val="000000"/>
          <w:sz w:val="24"/>
          <w:szCs w:val="24"/>
          <w:lang w:eastAsia="de-DE"/>
        </w:rPr>
      </w:pPr>
    </w:p>
    <w:p w14:paraId="43D191A8" w14:textId="4947B451" w:rsidR="005963AC" w:rsidRPr="00213DFF" w:rsidRDefault="00213DFF" w:rsidP="00213DFF">
      <w:pPr>
        <w:tabs>
          <w:tab w:val="left" w:pos="5954"/>
        </w:tabs>
        <w:spacing w:after="0" w:line="240" w:lineRule="auto"/>
        <w:ind w:right="26"/>
        <w:rPr>
          <w:rFonts w:ascii="Verdana" w:eastAsia="Calibri" w:hAnsi="Verdana" w:cs="Times New Roman"/>
          <w:sz w:val="24"/>
          <w:szCs w:val="24"/>
          <w:lang w:eastAsia="ar-SA"/>
        </w:rPr>
      </w:pPr>
      <w:r w:rsidRPr="00964FE3">
        <w:rPr>
          <w:rFonts w:ascii="Verdana" w:eastAsia="Calibri" w:hAnsi="Verdana" w:cs="Times New Roman"/>
          <w:sz w:val="24"/>
          <w:szCs w:val="24"/>
          <w:lang w:eastAsia="ar-SA"/>
        </w:rPr>
        <w:t>Azet</w:t>
      </w:r>
      <w:r w:rsidRPr="00964FE3">
        <w:rPr>
          <w:rFonts w:ascii="Verdana" w:eastAsia="Calibri" w:hAnsi="Verdana" w:cs="Times New Roman"/>
          <w:b/>
          <w:sz w:val="24"/>
          <w:szCs w:val="24"/>
          <w:lang w:eastAsia="ar-SA"/>
        </w:rPr>
        <w:t>PR</w:t>
      </w:r>
      <w:r w:rsidRPr="00964FE3">
        <w:rPr>
          <w:rFonts w:ascii="Verdana" w:eastAsia="Calibri" w:hAnsi="Verdana" w:cs="Times New Roman"/>
          <w:sz w:val="24"/>
          <w:szCs w:val="24"/>
          <w:lang w:eastAsia="ar-SA"/>
        </w:rPr>
        <w:br/>
        <w:t>International Public Relations GmbH</w:t>
      </w:r>
      <w:r w:rsidRPr="00964FE3">
        <w:rPr>
          <w:rFonts w:ascii="Verdana" w:eastAsia="Calibri" w:hAnsi="Verdana" w:cs="Times New Roman"/>
          <w:sz w:val="24"/>
          <w:szCs w:val="24"/>
          <w:lang w:eastAsia="ar-SA"/>
        </w:rPr>
        <w:br/>
        <w:t>Cons</w:t>
      </w:r>
      <w:r w:rsidR="00451B7B">
        <w:rPr>
          <w:rFonts w:ascii="Verdana" w:eastAsia="Calibri" w:hAnsi="Verdana" w:cs="Times New Roman"/>
          <w:sz w:val="24"/>
          <w:szCs w:val="24"/>
          <w:lang w:eastAsia="ar-SA"/>
        </w:rPr>
        <w:t>u</w:t>
      </w:r>
      <w:r w:rsidRPr="00964FE3">
        <w:rPr>
          <w:rFonts w:ascii="Verdana" w:eastAsia="Calibri" w:hAnsi="Verdana" w:cs="Times New Roman"/>
          <w:sz w:val="24"/>
          <w:szCs w:val="24"/>
          <w:lang w:eastAsia="ar-SA"/>
        </w:rPr>
        <w:t>lting / Editorial Services</w:t>
      </w:r>
      <w:r w:rsidR="00964FE3" w:rsidRPr="00964FE3">
        <w:rPr>
          <w:rFonts w:ascii="Verdana" w:eastAsia="Calibri" w:hAnsi="Verdana" w:cs="Times New Roman"/>
          <w:sz w:val="24"/>
          <w:szCs w:val="24"/>
          <w:lang w:eastAsia="ar-SA"/>
        </w:rPr>
        <w:br/>
        <w:t xml:space="preserve">c/o </w:t>
      </w:r>
      <w:proofErr w:type="spellStart"/>
      <w:r w:rsidR="00964FE3" w:rsidRPr="00964FE3">
        <w:rPr>
          <w:rFonts w:ascii="Verdana" w:eastAsia="Calibri" w:hAnsi="Verdana" w:cs="Times New Roman"/>
          <w:sz w:val="24"/>
          <w:szCs w:val="24"/>
          <w:lang w:eastAsia="ar-SA"/>
        </w:rPr>
        <w:t>Grindelwerk</w:t>
      </w:r>
      <w:proofErr w:type="spellEnd"/>
      <w:r w:rsidR="00964FE3" w:rsidRPr="00964FE3">
        <w:rPr>
          <w:rFonts w:ascii="Verdana" w:eastAsia="Calibri" w:hAnsi="Verdana" w:cs="Times New Roman"/>
          <w:sz w:val="24"/>
          <w:szCs w:val="24"/>
          <w:lang w:eastAsia="ar-SA"/>
        </w:rPr>
        <w:br/>
      </w:r>
      <w:r w:rsidRPr="00964FE3">
        <w:rPr>
          <w:rFonts w:ascii="Verdana" w:eastAsia="Calibri" w:hAnsi="Verdana" w:cs="Times New Roman"/>
          <w:sz w:val="24"/>
          <w:szCs w:val="24"/>
          <w:lang w:eastAsia="ar-SA"/>
        </w:rPr>
        <w:t>Thomas Spengler</w:t>
      </w:r>
      <w:r w:rsidRPr="00964FE3">
        <w:rPr>
          <w:rFonts w:ascii="Verdana" w:eastAsia="Calibri" w:hAnsi="Verdana" w:cs="Times New Roman"/>
          <w:sz w:val="24"/>
          <w:szCs w:val="24"/>
          <w:lang w:eastAsia="ar-SA"/>
        </w:rPr>
        <w:br/>
      </w:r>
      <w:proofErr w:type="spellStart"/>
      <w:r w:rsidR="00964FE3" w:rsidRPr="00964FE3">
        <w:rPr>
          <w:rFonts w:ascii="Verdana" w:eastAsia="Calibri" w:hAnsi="Verdana" w:cs="Times New Roman"/>
          <w:sz w:val="24"/>
          <w:szCs w:val="24"/>
          <w:lang w:eastAsia="ar-SA"/>
        </w:rPr>
        <w:t>Grindelberg</w:t>
      </w:r>
      <w:proofErr w:type="spellEnd"/>
      <w:r w:rsidR="00964FE3" w:rsidRPr="00964FE3">
        <w:rPr>
          <w:rFonts w:ascii="Verdana" w:eastAsia="Calibri" w:hAnsi="Verdana" w:cs="Times New Roman"/>
          <w:sz w:val="24"/>
          <w:szCs w:val="24"/>
          <w:lang w:eastAsia="ar-SA"/>
        </w:rPr>
        <w:t xml:space="preserve"> 17</w:t>
      </w:r>
      <w:r w:rsidR="00964FE3" w:rsidRPr="00964FE3">
        <w:rPr>
          <w:rFonts w:ascii="Verdana" w:eastAsia="Calibri" w:hAnsi="Verdana" w:cs="Times New Roman"/>
          <w:sz w:val="24"/>
          <w:szCs w:val="24"/>
          <w:lang w:eastAsia="ar-SA"/>
        </w:rPr>
        <w:br/>
        <w:t>20144 Hamburg</w:t>
      </w:r>
      <w:r w:rsidRPr="00964FE3">
        <w:rPr>
          <w:rFonts w:ascii="Verdana" w:eastAsia="Calibri" w:hAnsi="Verdana" w:cs="Times New Roman"/>
          <w:sz w:val="24"/>
          <w:szCs w:val="24"/>
          <w:lang w:eastAsia="ar-SA"/>
        </w:rPr>
        <w:br/>
        <w:t>Telefon: 040/41 32 70-21</w:t>
      </w:r>
      <w:r w:rsidRPr="00964FE3">
        <w:rPr>
          <w:rFonts w:ascii="Verdana" w:eastAsia="Calibri" w:hAnsi="Verdana" w:cs="Times New Roman"/>
          <w:sz w:val="24"/>
          <w:szCs w:val="24"/>
          <w:lang w:eastAsia="ar-SA"/>
        </w:rPr>
        <w:br/>
        <w:t>Fax: 040/41 3270-70</w:t>
      </w:r>
      <w:r w:rsidRPr="00964FE3">
        <w:rPr>
          <w:rFonts w:ascii="Verdana" w:eastAsia="Calibri" w:hAnsi="Verdana" w:cs="Times New Roman"/>
          <w:szCs w:val="24"/>
          <w:lang w:eastAsia="ar-SA"/>
        </w:rPr>
        <w:br/>
      </w:r>
      <w:hyperlink r:id="rId10" w:history="1">
        <w:r w:rsidRPr="00964FE3">
          <w:rPr>
            <w:rFonts w:ascii="Verdana" w:eastAsia="Calibri" w:hAnsi="Verdana" w:cs="Times New Roman"/>
            <w:color w:val="0000FF"/>
            <w:sz w:val="24"/>
            <w:szCs w:val="24"/>
            <w:u w:val="single"/>
            <w:lang w:eastAsia="ar-SA"/>
          </w:rPr>
          <w:t>spengler@azetpr.com</w:t>
        </w:r>
      </w:hyperlink>
      <w:r w:rsidRPr="00964FE3">
        <w:rPr>
          <w:rFonts w:ascii="Verdana" w:eastAsia="Calibri" w:hAnsi="Verdana" w:cs="Times New Roman"/>
          <w:sz w:val="24"/>
          <w:szCs w:val="24"/>
          <w:lang w:eastAsia="ar-SA"/>
        </w:rPr>
        <w:br/>
      </w:r>
      <w:hyperlink r:id="rId11" w:history="1">
        <w:r w:rsidRPr="00964FE3">
          <w:rPr>
            <w:rFonts w:ascii="Verdana" w:eastAsia="Calibri" w:hAnsi="Verdana" w:cs="Times New Roman"/>
            <w:color w:val="0000FF"/>
            <w:sz w:val="24"/>
            <w:szCs w:val="24"/>
            <w:u w:val="single"/>
            <w:lang w:eastAsia="ar-SA"/>
          </w:rPr>
          <w:t>www.azetpr.com</w:t>
        </w:r>
      </w:hyperlink>
      <w:r w:rsidR="00964FE3">
        <w:rPr>
          <w:rFonts w:ascii="Verdana" w:eastAsia="Calibri" w:hAnsi="Verdana" w:cs="Times New Roman"/>
          <w:sz w:val="24"/>
          <w:szCs w:val="24"/>
          <w:lang w:eastAsia="ar-SA"/>
        </w:rPr>
        <w:br/>
      </w:r>
      <w:r w:rsidRPr="00213DFF">
        <w:rPr>
          <w:rFonts w:ascii="Verdana" w:eastAsia="Calibri" w:hAnsi="Verdana" w:cs="Times New Roman"/>
          <w:sz w:val="24"/>
          <w:szCs w:val="24"/>
          <w:lang w:eastAsia="ar-SA"/>
        </w:rPr>
        <w:t>Geschäftsführer</w:t>
      </w:r>
      <w:r w:rsidR="00DB539C">
        <w:rPr>
          <w:rFonts w:ascii="Verdana" w:eastAsia="Calibri" w:hAnsi="Verdana" w:cs="Times New Roman"/>
          <w:sz w:val="24"/>
          <w:szCs w:val="24"/>
          <w:lang w:eastAsia="ar-SA"/>
        </w:rPr>
        <w:t>in</w:t>
      </w:r>
      <w:r w:rsidRPr="00213DFF">
        <w:rPr>
          <w:rFonts w:ascii="Verdana" w:eastAsia="Calibri" w:hAnsi="Verdana" w:cs="Times New Roman"/>
          <w:sz w:val="24"/>
          <w:szCs w:val="24"/>
          <w:lang w:eastAsia="ar-SA"/>
        </w:rPr>
        <w:t>:</w:t>
      </w:r>
      <w:r w:rsidRPr="00213DFF">
        <w:rPr>
          <w:rFonts w:ascii="Verdana" w:eastAsia="Calibri" w:hAnsi="Verdana" w:cs="Times New Roman"/>
          <w:sz w:val="24"/>
          <w:szCs w:val="24"/>
          <w:lang w:eastAsia="ar-SA"/>
        </w:rPr>
        <w:br/>
        <w:t>Andrea Zaszczynski</w:t>
      </w:r>
      <w:r w:rsidRPr="00213DFF">
        <w:rPr>
          <w:rFonts w:ascii="Verdana" w:eastAsia="Calibri" w:hAnsi="Verdana" w:cs="Times New Roman"/>
          <w:sz w:val="24"/>
          <w:szCs w:val="24"/>
          <w:lang w:eastAsia="ar-SA"/>
        </w:rPr>
        <w:br/>
        <w:t>Amtsgericht Hamburg HRB 107537</w:t>
      </w:r>
      <w:r w:rsidRPr="00213DFF">
        <w:rPr>
          <w:rFonts w:ascii="Verdana" w:eastAsia="Calibri" w:hAnsi="Verdana" w:cs="Times New Roman"/>
          <w:sz w:val="24"/>
          <w:szCs w:val="24"/>
          <w:lang w:eastAsia="ar-SA"/>
        </w:rPr>
        <w:br/>
        <w:t xml:space="preserve">Steuernummer: </w:t>
      </w:r>
      <w:r w:rsidRPr="00213DFF">
        <w:rPr>
          <w:rFonts w:ascii="Verdana" w:eastAsia="Calibri" w:hAnsi="Verdana" w:cs="Times New Roman"/>
          <w:noProof/>
          <w:sz w:val="24"/>
          <w:szCs w:val="24"/>
          <w:lang w:eastAsia="ar-SA"/>
        </w:rPr>
        <w:t>45 / 757 / 00301</w:t>
      </w:r>
    </w:p>
    <w:sectPr w:rsidR="005963AC" w:rsidRPr="00213DFF" w:rsidSect="00CA3216">
      <w:headerReference w:type="default" r:id="rId12"/>
      <w:pgSz w:w="11907" w:h="16840"/>
      <w:pgMar w:top="1418" w:right="907" w:bottom="1418" w:left="4309" w:header="1418" w:footer="284" w:gutter="0"/>
      <w:paperSrc w:first="1" w:other="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8202E2" w16cex:dateUtc="2025-07-03T15:23:00Z"/>
  <w16cex:commentExtensible w16cex:durableId="1AC1AAA5" w16cex:dateUtc="2025-07-03T15:28:00Z"/>
  <w16cex:commentExtensible w16cex:durableId="23D83E94" w16cex:dateUtc="2025-07-03T15:42:00Z"/>
  <w16cex:commentExtensible w16cex:durableId="16CAF38C" w16cex:dateUtc="2025-07-03T16: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87748" w14:textId="77777777" w:rsidR="004D0538" w:rsidRDefault="004D0538">
      <w:pPr>
        <w:spacing w:after="0" w:line="240" w:lineRule="auto"/>
      </w:pPr>
      <w:r>
        <w:separator/>
      </w:r>
    </w:p>
  </w:endnote>
  <w:endnote w:type="continuationSeparator" w:id="0">
    <w:p w14:paraId="53AF8D16" w14:textId="77777777" w:rsidR="004D0538" w:rsidRDefault="004D0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altName w:val="Univers"/>
    <w:charset w:val="00"/>
    <w:family w:val="swiss"/>
    <w:pitch w:val="variable"/>
    <w:sig w:usb0="80000287" w:usb1="00000000" w:usb2="00000000" w:usb3="00000000" w:csb0="0000000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FF6B0" w14:textId="77777777" w:rsidR="004D0538" w:rsidRDefault="004D0538">
      <w:pPr>
        <w:spacing w:after="0" w:line="240" w:lineRule="auto"/>
      </w:pPr>
      <w:r>
        <w:separator/>
      </w:r>
    </w:p>
  </w:footnote>
  <w:footnote w:type="continuationSeparator" w:id="0">
    <w:p w14:paraId="18CACDD3" w14:textId="77777777" w:rsidR="004D0538" w:rsidRDefault="004D0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2DE40" w14:textId="77777777" w:rsidR="00974BD7" w:rsidRDefault="00974BD7">
    <w:pPr>
      <w:pStyle w:val="Kopfzeile"/>
      <w:ind w:hanging="3544"/>
      <w:jc w:val="center"/>
      <w:rPr>
        <w:rFonts w:ascii="Univers" w:hAnsi="Univers"/>
        <w:b/>
      </w:rPr>
    </w:pPr>
  </w:p>
  <w:p w14:paraId="16C4FF57" w14:textId="77777777" w:rsidR="00974BD7" w:rsidRPr="00D05834" w:rsidRDefault="00EB32C3">
    <w:pPr>
      <w:pStyle w:val="Kopfzeile"/>
      <w:ind w:hanging="3544"/>
      <w:jc w:val="center"/>
      <w:rPr>
        <w:rFonts w:ascii="Verdana" w:hAnsi="Verdana"/>
        <w:b/>
      </w:rPr>
    </w:pPr>
    <w:r w:rsidRPr="00D05834">
      <w:rPr>
        <w:rFonts w:ascii="Verdana" w:hAnsi="Verdana"/>
        <w:b/>
      </w:rPr>
      <w:t>SCHLESWIG-HOLSTEINISCHE RECHTSANWALTSKAMMER</w:t>
    </w:r>
  </w:p>
  <w:p w14:paraId="1E846807" w14:textId="77777777" w:rsidR="00974BD7" w:rsidRDefault="00974BD7">
    <w:pPr>
      <w:pStyle w:val="Kopfzeile"/>
      <w:ind w:hanging="3544"/>
      <w:jc w:val="center"/>
      <w:rPr>
        <w:rFonts w:ascii="Univers" w:hAnsi="Univers"/>
        <w:b/>
      </w:rPr>
    </w:pPr>
  </w:p>
  <w:p w14:paraId="58978997" w14:textId="77777777" w:rsidR="00974BD7" w:rsidRDefault="00974BD7">
    <w:pPr>
      <w:pStyle w:val="Kopfzeile"/>
      <w:ind w:hanging="3544"/>
      <w:jc w:val="center"/>
      <w:rPr>
        <w:rFonts w:ascii="Univers" w:hAnsi="Univers"/>
        <w:b/>
      </w:rPr>
    </w:pPr>
  </w:p>
  <w:p w14:paraId="488656C6" w14:textId="77777777" w:rsidR="00974BD7" w:rsidRDefault="00EB32C3">
    <w:pPr>
      <w:pStyle w:val="Kopfzeile"/>
      <w:ind w:hanging="3544"/>
      <w:jc w:val="right"/>
      <w:rPr>
        <w:rFonts w:ascii="Univers" w:hAnsi="Univers"/>
      </w:rPr>
    </w:pPr>
    <w:r>
      <w:rPr>
        <w:rFonts w:ascii="Univers" w:hAnsi="Univers"/>
      </w:rPr>
      <w:t>PRESSEMITTEILUNG</w:t>
    </w:r>
  </w:p>
  <w:p w14:paraId="64BBB980" w14:textId="77777777" w:rsidR="00974BD7" w:rsidRDefault="00974BD7">
    <w:pPr>
      <w:pStyle w:val="Kopfzeile"/>
      <w:ind w:hanging="3544"/>
      <w:jc w:val="right"/>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75C53"/>
    <w:multiLevelType w:val="hybridMultilevel"/>
    <w:tmpl w:val="28CA2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694CEC"/>
    <w:multiLevelType w:val="hybridMultilevel"/>
    <w:tmpl w:val="4B9065A4"/>
    <w:lvl w:ilvl="0" w:tplc="8828EB4C">
      <w:numFmt w:val="bullet"/>
      <w:lvlText w:val="•"/>
      <w:lvlJc w:val="left"/>
      <w:pPr>
        <w:ind w:left="1065" w:hanging="705"/>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EB619B"/>
    <w:multiLevelType w:val="hybridMultilevel"/>
    <w:tmpl w:val="A812333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01BC2F-6A05-4E12-9080-E30280284264}"/>
    <w:docVar w:name="dgnword-eventsink" w:val="2697504554992"/>
  </w:docVars>
  <w:rsids>
    <w:rsidRoot w:val="00213DFF"/>
    <w:rsid w:val="00003D48"/>
    <w:rsid w:val="00015275"/>
    <w:rsid w:val="000175E7"/>
    <w:rsid w:val="00025AF5"/>
    <w:rsid w:val="000519B6"/>
    <w:rsid w:val="00052B9B"/>
    <w:rsid w:val="00055A62"/>
    <w:rsid w:val="000600E1"/>
    <w:rsid w:val="000622C8"/>
    <w:rsid w:val="00075DA7"/>
    <w:rsid w:val="00080925"/>
    <w:rsid w:val="00081DE5"/>
    <w:rsid w:val="000944E2"/>
    <w:rsid w:val="00095E7B"/>
    <w:rsid w:val="00095F2F"/>
    <w:rsid w:val="000A1BBE"/>
    <w:rsid w:val="000A4DB3"/>
    <w:rsid w:val="000B2669"/>
    <w:rsid w:val="000C1AE3"/>
    <w:rsid w:val="000D1F64"/>
    <w:rsid w:val="000D3A90"/>
    <w:rsid w:val="000D3D85"/>
    <w:rsid w:val="000E6C72"/>
    <w:rsid w:val="000E79C4"/>
    <w:rsid w:val="000F0974"/>
    <w:rsid w:val="000F682B"/>
    <w:rsid w:val="00103B2F"/>
    <w:rsid w:val="0011568A"/>
    <w:rsid w:val="00120EAC"/>
    <w:rsid w:val="0013687F"/>
    <w:rsid w:val="00142D1C"/>
    <w:rsid w:val="00142EBC"/>
    <w:rsid w:val="00145C35"/>
    <w:rsid w:val="00162BF6"/>
    <w:rsid w:val="00167A82"/>
    <w:rsid w:val="00167DF3"/>
    <w:rsid w:val="001719E0"/>
    <w:rsid w:val="00182837"/>
    <w:rsid w:val="001878E6"/>
    <w:rsid w:val="00187C64"/>
    <w:rsid w:val="00192D83"/>
    <w:rsid w:val="00195170"/>
    <w:rsid w:val="001A7211"/>
    <w:rsid w:val="001B352D"/>
    <w:rsid w:val="001C3548"/>
    <w:rsid w:val="001C378F"/>
    <w:rsid w:val="001C48FB"/>
    <w:rsid w:val="001C5931"/>
    <w:rsid w:val="001D26D4"/>
    <w:rsid w:val="001E1480"/>
    <w:rsid w:val="001F2BE1"/>
    <w:rsid w:val="001F6BFE"/>
    <w:rsid w:val="001F7289"/>
    <w:rsid w:val="00202DE3"/>
    <w:rsid w:val="00212847"/>
    <w:rsid w:val="00213DFF"/>
    <w:rsid w:val="00213FE9"/>
    <w:rsid w:val="00214A5A"/>
    <w:rsid w:val="0021608E"/>
    <w:rsid w:val="00217610"/>
    <w:rsid w:val="0023756A"/>
    <w:rsid w:val="0023792D"/>
    <w:rsid w:val="00242DCE"/>
    <w:rsid w:val="00253B3C"/>
    <w:rsid w:val="00256BA3"/>
    <w:rsid w:val="00274DFD"/>
    <w:rsid w:val="00284BF0"/>
    <w:rsid w:val="00286DB3"/>
    <w:rsid w:val="00293F6A"/>
    <w:rsid w:val="00294ECA"/>
    <w:rsid w:val="00297365"/>
    <w:rsid w:val="002A448F"/>
    <w:rsid w:val="002A4638"/>
    <w:rsid w:val="002A4845"/>
    <w:rsid w:val="002B6257"/>
    <w:rsid w:val="002B7CC5"/>
    <w:rsid w:val="002E4E83"/>
    <w:rsid w:val="002E58CA"/>
    <w:rsid w:val="002F27DC"/>
    <w:rsid w:val="00302644"/>
    <w:rsid w:val="00302CE2"/>
    <w:rsid w:val="00313763"/>
    <w:rsid w:val="00314675"/>
    <w:rsid w:val="0031561A"/>
    <w:rsid w:val="00322092"/>
    <w:rsid w:val="0033476D"/>
    <w:rsid w:val="00347259"/>
    <w:rsid w:val="00355D5C"/>
    <w:rsid w:val="0035734E"/>
    <w:rsid w:val="00364A79"/>
    <w:rsid w:val="00364CDE"/>
    <w:rsid w:val="003721B0"/>
    <w:rsid w:val="003804C4"/>
    <w:rsid w:val="00392545"/>
    <w:rsid w:val="00393CD5"/>
    <w:rsid w:val="003952D7"/>
    <w:rsid w:val="003B747C"/>
    <w:rsid w:val="003C1389"/>
    <w:rsid w:val="003C3389"/>
    <w:rsid w:val="003C68C7"/>
    <w:rsid w:val="003D1183"/>
    <w:rsid w:val="003D2380"/>
    <w:rsid w:val="003D27EF"/>
    <w:rsid w:val="003E743F"/>
    <w:rsid w:val="003E7636"/>
    <w:rsid w:val="00417D4D"/>
    <w:rsid w:val="00423375"/>
    <w:rsid w:val="00424E38"/>
    <w:rsid w:val="00427D39"/>
    <w:rsid w:val="004372E1"/>
    <w:rsid w:val="00440764"/>
    <w:rsid w:val="00450D52"/>
    <w:rsid w:val="00451B7B"/>
    <w:rsid w:val="00453734"/>
    <w:rsid w:val="00455546"/>
    <w:rsid w:val="00461950"/>
    <w:rsid w:val="004733C0"/>
    <w:rsid w:val="00473958"/>
    <w:rsid w:val="004763DF"/>
    <w:rsid w:val="004816A3"/>
    <w:rsid w:val="0049532C"/>
    <w:rsid w:val="004A36CF"/>
    <w:rsid w:val="004B30B4"/>
    <w:rsid w:val="004C46B7"/>
    <w:rsid w:val="004D0538"/>
    <w:rsid w:val="004D6191"/>
    <w:rsid w:val="004E62E7"/>
    <w:rsid w:val="004F2D93"/>
    <w:rsid w:val="004F4594"/>
    <w:rsid w:val="004F5BB1"/>
    <w:rsid w:val="005004E1"/>
    <w:rsid w:val="005020D7"/>
    <w:rsid w:val="00510235"/>
    <w:rsid w:val="00520D90"/>
    <w:rsid w:val="00540B77"/>
    <w:rsid w:val="00546D34"/>
    <w:rsid w:val="00550B4F"/>
    <w:rsid w:val="00553472"/>
    <w:rsid w:val="00553DA0"/>
    <w:rsid w:val="00565466"/>
    <w:rsid w:val="00570DF2"/>
    <w:rsid w:val="00572C11"/>
    <w:rsid w:val="00581546"/>
    <w:rsid w:val="005868F7"/>
    <w:rsid w:val="005963AC"/>
    <w:rsid w:val="005C1A21"/>
    <w:rsid w:val="005C78D2"/>
    <w:rsid w:val="005E351E"/>
    <w:rsid w:val="005E62B1"/>
    <w:rsid w:val="005F19F4"/>
    <w:rsid w:val="00602E02"/>
    <w:rsid w:val="00603CC8"/>
    <w:rsid w:val="0060403F"/>
    <w:rsid w:val="00606114"/>
    <w:rsid w:val="00610069"/>
    <w:rsid w:val="00611954"/>
    <w:rsid w:val="006158DC"/>
    <w:rsid w:val="00620869"/>
    <w:rsid w:val="006225DE"/>
    <w:rsid w:val="006232EE"/>
    <w:rsid w:val="006245CB"/>
    <w:rsid w:val="00624D5E"/>
    <w:rsid w:val="0063517E"/>
    <w:rsid w:val="00635F87"/>
    <w:rsid w:val="006436C3"/>
    <w:rsid w:val="006459F5"/>
    <w:rsid w:val="00646661"/>
    <w:rsid w:val="00656218"/>
    <w:rsid w:val="00666AD3"/>
    <w:rsid w:val="0067195E"/>
    <w:rsid w:val="00686B40"/>
    <w:rsid w:val="006958C7"/>
    <w:rsid w:val="00697375"/>
    <w:rsid w:val="006A155B"/>
    <w:rsid w:val="006A279A"/>
    <w:rsid w:val="006B751F"/>
    <w:rsid w:val="006D10BA"/>
    <w:rsid w:val="006D38F5"/>
    <w:rsid w:val="006E7400"/>
    <w:rsid w:val="00717617"/>
    <w:rsid w:val="00722F9E"/>
    <w:rsid w:val="00723265"/>
    <w:rsid w:val="0072446D"/>
    <w:rsid w:val="007260DA"/>
    <w:rsid w:val="0073272F"/>
    <w:rsid w:val="00736C69"/>
    <w:rsid w:val="00741516"/>
    <w:rsid w:val="00744C9C"/>
    <w:rsid w:val="00745D68"/>
    <w:rsid w:val="00747D81"/>
    <w:rsid w:val="0077353B"/>
    <w:rsid w:val="0077713A"/>
    <w:rsid w:val="007777F0"/>
    <w:rsid w:val="00783459"/>
    <w:rsid w:val="00791F86"/>
    <w:rsid w:val="007A25D5"/>
    <w:rsid w:val="007A3B36"/>
    <w:rsid w:val="007B3126"/>
    <w:rsid w:val="007D026B"/>
    <w:rsid w:val="007D7753"/>
    <w:rsid w:val="007E3C2B"/>
    <w:rsid w:val="007E3DE1"/>
    <w:rsid w:val="00805B04"/>
    <w:rsid w:val="00810746"/>
    <w:rsid w:val="00816162"/>
    <w:rsid w:val="008332AA"/>
    <w:rsid w:val="00836381"/>
    <w:rsid w:val="0084211C"/>
    <w:rsid w:val="00846D72"/>
    <w:rsid w:val="008566C1"/>
    <w:rsid w:val="00863655"/>
    <w:rsid w:val="00875E9C"/>
    <w:rsid w:val="00875EAD"/>
    <w:rsid w:val="00876828"/>
    <w:rsid w:val="00877295"/>
    <w:rsid w:val="0089661D"/>
    <w:rsid w:val="008A2715"/>
    <w:rsid w:val="008A4113"/>
    <w:rsid w:val="008A7F89"/>
    <w:rsid w:val="008C08E3"/>
    <w:rsid w:val="008C5DCD"/>
    <w:rsid w:val="008C6F36"/>
    <w:rsid w:val="008D1656"/>
    <w:rsid w:val="008D49D1"/>
    <w:rsid w:val="008D7B1E"/>
    <w:rsid w:val="008D7E41"/>
    <w:rsid w:val="008F13E0"/>
    <w:rsid w:val="00900EFA"/>
    <w:rsid w:val="00927086"/>
    <w:rsid w:val="009339F5"/>
    <w:rsid w:val="00936B2E"/>
    <w:rsid w:val="00937CF2"/>
    <w:rsid w:val="00956122"/>
    <w:rsid w:val="009574E5"/>
    <w:rsid w:val="00964FE3"/>
    <w:rsid w:val="009659E5"/>
    <w:rsid w:val="009675B4"/>
    <w:rsid w:val="00972319"/>
    <w:rsid w:val="0097310F"/>
    <w:rsid w:val="00973D3B"/>
    <w:rsid w:val="00974BD7"/>
    <w:rsid w:val="00982D7C"/>
    <w:rsid w:val="00986CA9"/>
    <w:rsid w:val="009953BC"/>
    <w:rsid w:val="00995618"/>
    <w:rsid w:val="009A7085"/>
    <w:rsid w:val="009C76EF"/>
    <w:rsid w:val="009D7E50"/>
    <w:rsid w:val="009E1479"/>
    <w:rsid w:val="009E5B96"/>
    <w:rsid w:val="009F3DEB"/>
    <w:rsid w:val="009F7226"/>
    <w:rsid w:val="00A0151A"/>
    <w:rsid w:val="00A07DC0"/>
    <w:rsid w:val="00A1741B"/>
    <w:rsid w:val="00A37CC1"/>
    <w:rsid w:val="00A4180D"/>
    <w:rsid w:val="00A50D58"/>
    <w:rsid w:val="00A60DE1"/>
    <w:rsid w:val="00A64F10"/>
    <w:rsid w:val="00A674B0"/>
    <w:rsid w:val="00A677DA"/>
    <w:rsid w:val="00A71923"/>
    <w:rsid w:val="00A71D14"/>
    <w:rsid w:val="00A742F5"/>
    <w:rsid w:val="00A75332"/>
    <w:rsid w:val="00A7580F"/>
    <w:rsid w:val="00A775BF"/>
    <w:rsid w:val="00A806C4"/>
    <w:rsid w:val="00A820F7"/>
    <w:rsid w:val="00AA5EBF"/>
    <w:rsid w:val="00AB4B7A"/>
    <w:rsid w:val="00AB7CC9"/>
    <w:rsid w:val="00AD13E7"/>
    <w:rsid w:val="00AD565F"/>
    <w:rsid w:val="00AD56C5"/>
    <w:rsid w:val="00AF3AD3"/>
    <w:rsid w:val="00AF3D2E"/>
    <w:rsid w:val="00AF5FB6"/>
    <w:rsid w:val="00AF6932"/>
    <w:rsid w:val="00B00C33"/>
    <w:rsid w:val="00B37EA3"/>
    <w:rsid w:val="00B529FB"/>
    <w:rsid w:val="00B5535B"/>
    <w:rsid w:val="00B57D43"/>
    <w:rsid w:val="00B64394"/>
    <w:rsid w:val="00B73895"/>
    <w:rsid w:val="00B75459"/>
    <w:rsid w:val="00B81F32"/>
    <w:rsid w:val="00B8291B"/>
    <w:rsid w:val="00B82A5D"/>
    <w:rsid w:val="00B83473"/>
    <w:rsid w:val="00B86197"/>
    <w:rsid w:val="00B869B4"/>
    <w:rsid w:val="00B904C2"/>
    <w:rsid w:val="00BB0793"/>
    <w:rsid w:val="00BB1074"/>
    <w:rsid w:val="00BB378F"/>
    <w:rsid w:val="00BC65E0"/>
    <w:rsid w:val="00BC6B2F"/>
    <w:rsid w:val="00BC7606"/>
    <w:rsid w:val="00BD0296"/>
    <w:rsid w:val="00BD49C8"/>
    <w:rsid w:val="00BE1F14"/>
    <w:rsid w:val="00BE36EC"/>
    <w:rsid w:val="00C06A05"/>
    <w:rsid w:val="00C142D9"/>
    <w:rsid w:val="00C16FE0"/>
    <w:rsid w:val="00C205B8"/>
    <w:rsid w:val="00C22DD6"/>
    <w:rsid w:val="00C4272C"/>
    <w:rsid w:val="00C750F8"/>
    <w:rsid w:val="00C76399"/>
    <w:rsid w:val="00C83DFC"/>
    <w:rsid w:val="00C854F6"/>
    <w:rsid w:val="00C85513"/>
    <w:rsid w:val="00C902E4"/>
    <w:rsid w:val="00CB6753"/>
    <w:rsid w:val="00CC04A1"/>
    <w:rsid w:val="00CC226E"/>
    <w:rsid w:val="00CC40B4"/>
    <w:rsid w:val="00CC41B4"/>
    <w:rsid w:val="00CD103A"/>
    <w:rsid w:val="00CF179E"/>
    <w:rsid w:val="00CF2EC1"/>
    <w:rsid w:val="00D0039B"/>
    <w:rsid w:val="00D13C5A"/>
    <w:rsid w:val="00D2225D"/>
    <w:rsid w:val="00D236C2"/>
    <w:rsid w:val="00D4523A"/>
    <w:rsid w:val="00D47BE8"/>
    <w:rsid w:val="00D71F4F"/>
    <w:rsid w:val="00D74A2C"/>
    <w:rsid w:val="00D80D73"/>
    <w:rsid w:val="00D85734"/>
    <w:rsid w:val="00D93ADE"/>
    <w:rsid w:val="00D9583B"/>
    <w:rsid w:val="00D95B1F"/>
    <w:rsid w:val="00D9745A"/>
    <w:rsid w:val="00DA0936"/>
    <w:rsid w:val="00DA4596"/>
    <w:rsid w:val="00DB539C"/>
    <w:rsid w:val="00DB58E8"/>
    <w:rsid w:val="00DB7B7F"/>
    <w:rsid w:val="00DC6345"/>
    <w:rsid w:val="00DD2525"/>
    <w:rsid w:val="00DD41C5"/>
    <w:rsid w:val="00DD6BD5"/>
    <w:rsid w:val="00DE05BF"/>
    <w:rsid w:val="00DE202D"/>
    <w:rsid w:val="00DE258A"/>
    <w:rsid w:val="00DF0985"/>
    <w:rsid w:val="00E06B67"/>
    <w:rsid w:val="00E143DE"/>
    <w:rsid w:val="00E167E0"/>
    <w:rsid w:val="00E21BDD"/>
    <w:rsid w:val="00E25922"/>
    <w:rsid w:val="00E411FC"/>
    <w:rsid w:val="00E5163A"/>
    <w:rsid w:val="00E53FBD"/>
    <w:rsid w:val="00E67C31"/>
    <w:rsid w:val="00E7789E"/>
    <w:rsid w:val="00E80231"/>
    <w:rsid w:val="00E91E47"/>
    <w:rsid w:val="00EA333C"/>
    <w:rsid w:val="00EA46F5"/>
    <w:rsid w:val="00EB25EB"/>
    <w:rsid w:val="00EB32C3"/>
    <w:rsid w:val="00EB72E8"/>
    <w:rsid w:val="00EC240C"/>
    <w:rsid w:val="00ED0270"/>
    <w:rsid w:val="00ED143F"/>
    <w:rsid w:val="00ED55A7"/>
    <w:rsid w:val="00EE3919"/>
    <w:rsid w:val="00EE79F0"/>
    <w:rsid w:val="00EF4977"/>
    <w:rsid w:val="00F1268D"/>
    <w:rsid w:val="00F13C26"/>
    <w:rsid w:val="00F35C76"/>
    <w:rsid w:val="00F419E3"/>
    <w:rsid w:val="00F467E8"/>
    <w:rsid w:val="00F50053"/>
    <w:rsid w:val="00F5745C"/>
    <w:rsid w:val="00F6372A"/>
    <w:rsid w:val="00F67E0E"/>
    <w:rsid w:val="00F918DD"/>
    <w:rsid w:val="00F951DF"/>
    <w:rsid w:val="00F97D74"/>
    <w:rsid w:val="00FB170F"/>
    <w:rsid w:val="00FB2AB9"/>
  </w:rsids>
  <m:mathPr>
    <m:mathFont m:val="Cambria Math"/>
    <m:brkBin m:val="before"/>
    <m:brkBinSub m:val="--"/>
    <m:smallFrac m:val="0"/>
    <m:dispDef/>
    <m:lMargin m:val="0"/>
    <m:rMargin m:val="0"/>
    <m:defJc m:val="centerGroup"/>
    <m:wrapIndent m:val="1440"/>
    <m:intLim m:val="subSup"/>
    <m:naryLim m:val="undOvr"/>
  </m:mathPr>
  <w:themeFontLang w:val="de-DE"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F012"/>
  <w15:chartTrackingRefBased/>
  <w15:docId w15:val="{CB0589FC-03FF-4D2F-AC33-CD085CD4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213DFF"/>
    <w:pPr>
      <w:tabs>
        <w:tab w:val="center" w:pos="4536"/>
        <w:tab w:val="right" w:pos="9072"/>
      </w:tabs>
      <w:spacing w:after="0" w:line="240" w:lineRule="auto"/>
    </w:pPr>
    <w:rPr>
      <w:rFonts w:ascii="Arial" w:eastAsia="Calibri" w:hAnsi="Arial" w:cs="Arial"/>
    </w:rPr>
  </w:style>
  <w:style w:type="character" w:customStyle="1" w:styleId="KopfzeileZchn">
    <w:name w:val="Kopfzeile Zchn"/>
    <w:basedOn w:val="Absatz-Standardschriftart"/>
    <w:link w:val="Kopfzeile"/>
    <w:uiPriority w:val="99"/>
    <w:rsid w:val="00213DFF"/>
    <w:rPr>
      <w:rFonts w:ascii="Arial" w:eastAsia="Calibri" w:hAnsi="Arial" w:cs="Arial"/>
    </w:rPr>
  </w:style>
  <w:style w:type="paragraph" w:styleId="Listenabsatz">
    <w:name w:val="List Paragraph"/>
    <w:basedOn w:val="Standard"/>
    <w:uiPriority w:val="34"/>
    <w:qFormat/>
    <w:rsid w:val="00553472"/>
    <w:pPr>
      <w:ind w:left="720"/>
      <w:contextualSpacing/>
    </w:pPr>
  </w:style>
  <w:style w:type="character" w:styleId="Kommentarzeichen">
    <w:name w:val="annotation reference"/>
    <w:basedOn w:val="Absatz-Standardschriftart"/>
    <w:uiPriority w:val="99"/>
    <w:semiHidden/>
    <w:unhideWhenUsed/>
    <w:rsid w:val="009953BC"/>
    <w:rPr>
      <w:sz w:val="16"/>
      <w:szCs w:val="16"/>
    </w:rPr>
  </w:style>
  <w:style w:type="paragraph" w:styleId="Kommentartext">
    <w:name w:val="annotation text"/>
    <w:basedOn w:val="Standard"/>
    <w:link w:val="KommentartextZchn"/>
    <w:uiPriority w:val="99"/>
    <w:unhideWhenUsed/>
    <w:rsid w:val="009953BC"/>
    <w:pPr>
      <w:spacing w:line="240" w:lineRule="auto"/>
    </w:pPr>
    <w:rPr>
      <w:sz w:val="20"/>
      <w:szCs w:val="20"/>
    </w:rPr>
  </w:style>
  <w:style w:type="character" w:customStyle="1" w:styleId="KommentartextZchn">
    <w:name w:val="Kommentartext Zchn"/>
    <w:basedOn w:val="Absatz-Standardschriftart"/>
    <w:link w:val="Kommentartext"/>
    <w:uiPriority w:val="99"/>
    <w:rsid w:val="009953BC"/>
    <w:rPr>
      <w:sz w:val="20"/>
      <w:szCs w:val="20"/>
    </w:rPr>
  </w:style>
  <w:style w:type="paragraph" w:styleId="Kommentarthema">
    <w:name w:val="annotation subject"/>
    <w:basedOn w:val="Kommentartext"/>
    <w:next w:val="Kommentartext"/>
    <w:link w:val="KommentarthemaZchn"/>
    <w:uiPriority w:val="99"/>
    <w:semiHidden/>
    <w:unhideWhenUsed/>
    <w:rsid w:val="009953BC"/>
    <w:rPr>
      <w:b/>
      <w:bCs/>
    </w:rPr>
  </w:style>
  <w:style w:type="character" w:customStyle="1" w:styleId="KommentarthemaZchn">
    <w:name w:val="Kommentarthema Zchn"/>
    <w:basedOn w:val="KommentartextZchn"/>
    <w:link w:val="Kommentarthema"/>
    <w:uiPriority w:val="99"/>
    <w:semiHidden/>
    <w:rsid w:val="009953BC"/>
    <w:rPr>
      <w:b/>
      <w:bCs/>
      <w:sz w:val="20"/>
      <w:szCs w:val="20"/>
    </w:rPr>
  </w:style>
  <w:style w:type="paragraph" w:styleId="Sprechblasentext">
    <w:name w:val="Balloon Text"/>
    <w:basedOn w:val="Standard"/>
    <w:link w:val="SprechblasentextZchn"/>
    <w:uiPriority w:val="99"/>
    <w:semiHidden/>
    <w:unhideWhenUsed/>
    <w:rsid w:val="009953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53BC"/>
    <w:rPr>
      <w:rFonts w:ascii="Segoe UI" w:hAnsi="Segoe UI" w:cs="Segoe UI"/>
      <w:sz w:val="18"/>
      <w:szCs w:val="18"/>
    </w:rPr>
  </w:style>
  <w:style w:type="character" w:styleId="Hyperlink">
    <w:name w:val="Hyperlink"/>
    <w:basedOn w:val="Absatz-Standardschriftart"/>
    <w:uiPriority w:val="99"/>
    <w:unhideWhenUsed/>
    <w:rsid w:val="00CC04A1"/>
    <w:rPr>
      <w:color w:val="0000FF"/>
      <w:u w:val="single"/>
    </w:rPr>
  </w:style>
  <w:style w:type="paragraph" w:styleId="berarbeitung">
    <w:name w:val="Revision"/>
    <w:hidden/>
    <w:uiPriority w:val="99"/>
    <w:semiHidden/>
    <w:rsid w:val="00E91E47"/>
    <w:pPr>
      <w:spacing w:after="0" w:line="240" w:lineRule="auto"/>
    </w:pPr>
  </w:style>
  <w:style w:type="character" w:styleId="NichtaufgelsteErwhnung">
    <w:name w:val="Unresolved Mention"/>
    <w:basedOn w:val="Absatz-Standardschriftart"/>
    <w:uiPriority w:val="99"/>
    <w:semiHidden/>
    <w:unhideWhenUsed/>
    <w:rsid w:val="004E6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Rechtsanwaltskamm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k-sh.de/fuer-buerger/anwaltssuch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zetpr.com/" TargetMode="External"/><Relationship Id="rId5" Type="http://schemas.openxmlformats.org/officeDocument/2006/relationships/footnotes" Target="footnotes.xml"/><Relationship Id="rId10" Type="http://schemas.openxmlformats.org/officeDocument/2006/relationships/hyperlink" Target="mailto:spengler@azetpr.com"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ihr-ratgeber-recht.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4100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Spengler, Thomas</dc:creator>
  <cp:keywords/>
  <dc:description/>
  <cp:lastModifiedBy>Spengler, Thomas</cp:lastModifiedBy>
  <cp:revision>90</cp:revision>
  <cp:lastPrinted>2023-04-18T09:30:00Z</cp:lastPrinted>
  <dcterms:created xsi:type="dcterms:W3CDTF">2024-11-07T14:06:00Z</dcterms:created>
  <dcterms:modified xsi:type="dcterms:W3CDTF">2026-09-09T09:10:00Z</dcterms:modified>
</cp:coreProperties>
</file>