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F2CF1" w:rsidRDefault="005845E4">
      <w:pPr>
        <w:spacing w:before="100" w:after="100"/>
        <w:rPr>
          <w:b/>
          <w:color w:val="808080"/>
          <w:sz w:val="72"/>
          <w:szCs w:val="72"/>
          <w:lang w:eastAsia="ar-SA"/>
        </w:rPr>
      </w:pPr>
      <w:r>
        <w:rPr>
          <w:b/>
          <w:color w:val="808080"/>
          <w:sz w:val="72"/>
          <w:szCs w:val="72"/>
          <w:lang w:eastAsia="ar-SA"/>
        </w:rPr>
        <w:t>Presse-Information</w:t>
      </w:r>
    </w:p>
    <w:p w:rsidR="000F2CF1" w:rsidRDefault="005845E4">
      <w:r>
        <w:rPr>
          <w:rFonts w:ascii="Arial" w:hAnsi="Arial" w:cs="Arial"/>
          <w:b/>
        </w:rPr>
        <w:t xml:space="preserve">Medikamente niemals wahllos </w:t>
      </w:r>
      <w:proofErr w:type="gramStart"/>
      <w:r>
        <w:rPr>
          <w:rFonts w:ascii="Arial" w:hAnsi="Arial" w:cs="Arial"/>
          <w:b/>
        </w:rPr>
        <w:t>anwenden</w:t>
      </w:r>
      <w:proofErr w:type="gramEnd"/>
      <w:r>
        <w:rPr>
          <w:rFonts w:ascii="Arial" w:hAnsi="Arial" w:cs="Arial"/>
          <w:b/>
        </w:rPr>
        <w:br/>
      </w:r>
      <w:r>
        <w:rPr>
          <w:rFonts w:cs="Calibri"/>
          <w:b/>
          <w:sz w:val="36"/>
          <w:szCs w:val="28"/>
          <w:lang w:eastAsia="ar-SA"/>
        </w:rPr>
        <w:t>Wenn Schmerzmittel Schmerzen auslösen</w:t>
      </w:r>
    </w:p>
    <w:p w:rsidR="000F2CF1" w:rsidRDefault="005845E4">
      <w:pPr>
        <w:spacing w:after="0" w:line="240" w:lineRule="auto"/>
        <w:jc w:val="both"/>
        <w:rPr>
          <w:rFonts w:ascii="Arial" w:hAnsi="Arial" w:cs="Arial"/>
          <w:lang w:eastAsia="ar-SA"/>
        </w:rPr>
      </w:pPr>
      <w:r w:rsidRPr="00A46DF1">
        <w:rPr>
          <w:rFonts w:ascii="Arial" w:hAnsi="Arial" w:cs="Arial"/>
          <w:b/>
          <w:lang w:eastAsia="ar-SA"/>
        </w:rPr>
        <w:t xml:space="preserve">Hannover, </w:t>
      </w:r>
      <w:r w:rsidR="00A46DF1" w:rsidRPr="00A46DF1">
        <w:rPr>
          <w:rFonts w:ascii="Arial" w:hAnsi="Arial" w:cs="Arial"/>
          <w:b/>
          <w:lang w:eastAsia="ar-SA"/>
        </w:rPr>
        <w:t>10</w:t>
      </w:r>
      <w:r w:rsidRPr="00A46DF1">
        <w:rPr>
          <w:rFonts w:ascii="Arial" w:hAnsi="Arial" w:cs="Arial"/>
          <w:b/>
          <w:lang w:eastAsia="ar-SA"/>
        </w:rPr>
        <w:t>.0</w:t>
      </w:r>
      <w:r w:rsidR="00E554C1" w:rsidRPr="00A46DF1">
        <w:rPr>
          <w:rFonts w:ascii="Arial" w:hAnsi="Arial" w:cs="Arial"/>
          <w:b/>
          <w:lang w:eastAsia="ar-SA"/>
        </w:rPr>
        <w:t>9</w:t>
      </w:r>
      <w:r w:rsidRPr="00A46DF1">
        <w:rPr>
          <w:rFonts w:ascii="Arial" w:hAnsi="Arial" w:cs="Arial"/>
          <w:b/>
          <w:lang w:eastAsia="ar-SA"/>
        </w:rPr>
        <w:t>.2026</w:t>
      </w:r>
      <w:r w:rsidRPr="00A46DF1">
        <w:rPr>
          <w:b/>
          <w:lang w:eastAsia="ar-SA"/>
        </w:rPr>
        <w:t xml:space="preserve"> –</w:t>
      </w:r>
      <w:r w:rsidRPr="00A46DF1">
        <w:t xml:space="preserve"> </w:t>
      </w:r>
      <w:r w:rsidRPr="00A46DF1">
        <w:rPr>
          <w:rFonts w:ascii="Arial" w:hAnsi="Arial" w:cs="Arial"/>
          <w:lang w:eastAsia="ar-SA"/>
        </w:rPr>
        <w:t>Rezeptfreie</w:t>
      </w:r>
      <w:r>
        <w:rPr>
          <w:rFonts w:ascii="Arial" w:hAnsi="Arial" w:cs="Arial"/>
          <w:lang w:eastAsia="ar-SA"/>
        </w:rPr>
        <w:t xml:space="preserve"> Schmerzmittel wie Ibuprofen, Paracetamol oder ASS gehören </w:t>
      </w:r>
      <w:r w:rsidR="008E790D">
        <w:rPr>
          <w:rFonts w:ascii="Arial" w:hAnsi="Arial" w:cs="Arial"/>
          <w:lang w:eastAsia="ar-SA"/>
        </w:rPr>
        <w:t xml:space="preserve">für </w:t>
      </w:r>
      <w:r>
        <w:rPr>
          <w:rFonts w:ascii="Arial" w:hAnsi="Arial" w:cs="Arial"/>
          <w:lang w:eastAsia="ar-SA"/>
        </w:rPr>
        <w:t xml:space="preserve">viele </w:t>
      </w:r>
      <w:r w:rsidR="00CA56E5">
        <w:rPr>
          <w:rFonts w:ascii="Arial" w:hAnsi="Arial" w:cs="Arial"/>
          <w:lang w:eastAsia="ar-SA"/>
        </w:rPr>
        <w:t>Menschen</w:t>
      </w:r>
      <w:r>
        <w:rPr>
          <w:rFonts w:ascii="Arial" w:hAnsi="Arial" w:cs="Arial"/>
          <w:lang w:eastAsia="ar-SA"/>
        </w:rPr>
        <w:t xml:space="preserve"> zur Hausapotheke. </w:t>
      </w:r>
      <w:r w:rsidRPr="005845E4">
        <w:rPr>
          <w:rFonts w:ascii="Arial" w:hAnsi="Arial" w:cs="Arial"/>
          <w:lang w:eastAsia="ar-SA"/>
        </w:rPr>
        <w:t xml:space="preserve">Doch auch Arzneimittel, die ohne Rezept </w:t>
      </w:r>
      <w:r>
        <w:rPr>
          <w:rFonts w:ascii="Arial" w:hAnsi="Arial" w:cs="Arial"/>
          <w:lang w:eastAsia="ar-SA"/>
        </w:rPr>
        <w:t xml:space="preserve">in der Apotheke vor Ort </w:t>
      </w:r>
      <w:r w:rsidRPr="005845E4">
        <w:rPr>
          <w:rFonts w:ascii="Arial" w:hAnsi="Arial" w:cs="Arial"/>
          <w:lang w:eastAsia="ar-SA"/>
        </w:rPr>
        <w:t xml:space="preserve">erhältlich </w:t>
      </w:r>
      <w:r w:rsidRPr="00AC7E37">
        <w:rPr>
          <w:rFonts w:ascii="Arial" w:hAnsi="Arial" w:cs="Arial"/>
          <w:lang w:eastAsia="ar-SA"/>
        </w:rPr>
        <w:t>sind, sollten nie leichtfertig</w:t>
      </w:r>
      <w:r w:rsidRPr="005845E4">
        <w:rPr>
          <w:rFonts w:ascii="Arial" w:hAnsi="Arial" w:cs="Arial"/>
          <w:lang w:eastAsia="ar-SA"/>
        </w:rPr>
        <w:t xml:space="preserve"> angewendet werden, betont die Apothekerkammer Niedersachsen</w:t>
      </w:r>
      <w:r>
        <w:rPr>
          <w:rFonts w:ascii="Arial" w:hAnsi="Arial" w:cs="Arial"/>
          <w:lang w:eastAsia="ar-SA"/>
        </w:rPr>
        <w:t xml:space="preserve">. Schmerzmittel können die Wirkung anderer Medikamente beeinflussen und </w:t>
      </w:r>
      <w:r w:rsidR="009902B6">
        <w:rPr>
          <w:rFonts w:ascii="Arial" w:hAnsi="Arial" w:cs="Arial"/>
          <w:lang w:eastAsia="ar-SA"/>
        </w:rPr>
        <w:t>in erster Linie</w:t>
      </w:r>
      <w:r w:rsidR="00AC7E37">
        <w:rPr>
          <w:rFonts w:ascii="Arial" w:hAnsi="Arial" w:cs="Arial"/>
          <w:lang w:eastAsia="ar-SA"/>
        </w:rPr>
        <w:t xml:space="preserve"> </w:t>
      </w:r>
      <w:r>
        <w:rPr>
          <w:rFonts w:ascii="Arial" w:hAnsi="Arial" w:cs="Arial"/>
          <w:lang w:eastAsia="ar-SA"/>
        </w:rPr>
        <w:t xml:space="preserve">bei einer Überdosierung </w:t>
      </w:r>
      <w:r w:rsidR="004A659C">
        <w:rPr>
          <w:rFonts w:ascii="Arial" w:hAnsi="Arial" w:cs="Arial"/>
          <w:lang w:eastAsia="ar-SA"/>
        </w:rPr>
        <w:t xml:space="preserve">unter anderem </w:t>
      </w:r>
      <w:r>
        <w:rPr>
          <w:rFonts w:ascii="Arial" w:hAnsi="Arial" w:cs="Arial"/>
          <w:lang w:eastAsia="ar-SA"/>
        </w:rPr>
        <w:t xml:space="preserve">Magen, Leber oder Niere schädigen. </w:t>
      </w:r>
      <w:r w:rsidR="00CA56E5">
        <w:rPr>
          <w:rFonts w:ascii="Arial" w:hAnsi="Arial" w:cs="Arial"/>
          <w:lang w:eastAsia="ar-SA"/>
        </w:rPr>
        <w:t>Vor</w:t>
      </w:r>
      <w:r>
        <w:rPr>
          <w:rFonts w:ascii="Arial" w:hAnsi="Arial" w:cs="Arial"/>
          <w:lang w:eastAsia="ar-SA"/>
        </w:rPr>
        <w:t xml:space="preserve"> der Einnahme</w:t>
      </w:r>
      <w:r w:rsidR="00CA56E5">
        <w:rPr>
          <w:rFonts w:ascii="Arial" w:hAnsi="Arial" w:cs="Arial"/>
          <w:lang w:eastAsia="ar-SA"/>
        </w:rPr>
        <w:t xml:space="preserve"> sollten Patientinnen und Patienten</w:t>
      </w:r>
      <w:r>
        <w:rPr>
          <w:rFonts w:ascii="Arial" w:hAnsi="Arial" w:cs="Arial"/>
          <w:lang w:eastAsia="ar-SA"/>
        </w:rPr>
        <w:t xml:space="preserve"> gemeinsam mit der Apothekerin oder dem Apotheker mit Blick auf ihre jeweilige Lebenssituation sorgfältig </w:t>
      </w:r>
      <w:r w:rsidR="00CA56E5">
        <w:rPr>
          <w:rFonts w:ascii="Arial" w:hAnsi="Arial" w:cs="Arial"/>
          <w:lang w:eastAsia="ar-SA"/>
        </w:rPr>
        <w:t>prüfen,</w:t>
      </w:r>
      <w:r>
        <w:rPr>
          <w:rFonts w:ascii="Arial" w:hAnsi="Arial" w:cs="Arial"/>
          <w:lang w:eastAsia="ar-SA"/>
        </w:rPr>
        <w:t xml:space="preserve"> welchen Nutzen und welche Risiken die Anwendung mit sich bringt.</w:t>
      </w:r>
    </w:p>
    <w:p w:rsidR="000F2CF1" w:rsidRDefault="005845E4">
      <w:pPr>
        <w:spacing w:line="264" w:lineRule="auto"/>
        <w:jc w:val="both"/>
        <w:rPr>
          <w:rFonts w:ascii="Arial" w:hAnsi="Arial" w:cs="Arial"/>
        </w:rPr>
      </w:pPr>
      <w:r>
        <w:rPr>
          <w:rFonts w:ascii="Arial" w:hAnsi="Arial" w:cs="Arial"/>
          <w:i/>
        </w:rPr>
        <w:t xml:space="preserve">Diese Pressemitteilung </w:t>
      </w:r>
      <w:r w:rsidRPr="005056AB">
        <w:rPr>
          <w:rFonts w:ascii="Arial" w:hAnsi="Arial" w:cs="Arial"/>
          <w:i/>
        </w:rPr>
        <w:t xml:space="preserve">finden Sie </w:t>
      </w:r>
      <w:hyperlink r:id="rId10" w:history="1">
        <w:r w:rsidRPr="005056AB">
          <w:rPr>
            <w:rStyle w:val="Hyperlink"/>
            <w:rFonts w:ascii="Arial" w:hAnsi="Arial" w:cs="Arial"/>
            <w:i/>
            <w:color w:val="0000FC"/>
          </w:rPr>
          <w:t>hier</w:t>
        </w:r>
      </w:hyperlink>
      <w:r w:rsidRPr="005056AB">
        <w:rPr>
          <w:rFonts w:ascii="Arial" w:hAnsi="Arial" w:cs="Arial"/>
          <w:i/>
        </w:rPr>
        <w:t xml:space="preserve"> im PDF</w:t>
      </w:r>
      <w:r>
        <w:rPr>
          <w:rFonts w:ascii="Arial" w:hAnsi="Arial" w:cs="Arial"/>
          <w:i/>
        </w:rPr>
        <w:t>-Format.</w:t>
      </w:r>
    </w:p>
    <w:p w:rsidR="000F2CF1" w:rsidRDefault="005845E4">
      <w:pPr>
        <w:jc w:val="both"/>
        <w:rPr>
          <w:rFonts w:ascii="Arial" w:hAnsi="Arial" w:cs="Arial"/>
          <w:b/>
        </w:rPr>
      </w:pPr>
      <w:r>
        <w:rPr>
          <w:rFonts w:ascii="Arial" w:hAnsi="Arial" w:cs="Arial"/>
          <w:b/>
        </w:rPr>
        <w:t>Zu häufige oder zu lange Anwendung ist ein Risiko</w:t>
      </w:r>
    </w:p>
    <w:p w:rsidR="000F2CF1" w:rsidRDefault="005845E4">
      <w:pPr>
        <w:jc w:val="both"/>
        <w:rPr>
          <w:rFonts w:ascii="Arial" w:hAnsi="Arial" w:cs="Arial"/>
        </w:rPr>
      </w:pPr>
      <w:r w:rsidRPr="00AC7E37">
        <w:rPr>
          <w:rFonts w:ascii="Arial" w:hAnsi="Arial" w:cs="Arial"/>
        </w:rPr>
        <w:t>Patientinnen</w:t>
      </w:r>
      <w:r>
        <w:rPr>
          <w:rFonts w:ascii="Arial" w:hAnsi="Arial" w:cs="Arial"/>
        </w:rPr>
        <w:t xml:space="preserve"> und Patienten </w:t>
      </w:r>
      <w:r w:rsidR="00225B32">
        <w:rPr>
          <w:rFonts w:ascii="Arial" w:hAnsi="Arial" w:cs="Arial"/>
        </w:rPr>
        <w:t xml:space="preserve">sollten </w:t>
      </w:r>
      <w:r>
        <w:rPr>
          <w:rFonts w:ascii="Arial" w:hAnsi="Arial" w:cs="Arial"/>
        </w:rPr>
        <w:t xml:space="preserve">Schmerzmittel ohne ärztlichen oder </w:t>
      </w:r>
      <w:proofErr w:type="spellStart"/>
      <w:r>
        <w:rPr>
          <w:rFonts w:ascii="Arial" w:hAnsi="Arial" w:cs="Arial"/>
        </w:rPr>
        <w:t>apothekerlichen</w:t>
      </w:r>
      <w:proofErr w:type="spellEnd"/>
      <w:r>
        <w:rPr>
          <w:rFonts w:ascii="Arial" w:hAnsi="Arial" w:cs="Arial"/>
        </w:rPr>
        <w:t xml:space="preserve"> Rat nicht länger als vier Tage hintereinander sowie an insgesamt höchstens zehn Tagen pro Monat einnehmen – und die Anwendung auch keinesfalls jeden Monat wiederholen. Werden Schmerzmittel wie Ibuprofen, </w:t>
      </w:r>
      <w:proofErr w:type="spellStart"/>
      <w:r>
        <w:rPr>
          <w:rFonts w:ascii="Arial" w:hAnsi="Arial" w:cs="Arial"/>
        </w:rPr>
        <w:t>Diclofenac</w:t>
      </w:r>
      <w:proofErr w:type="spellEnd"/>
      <w:r>
        <w:rPr>
          <w:rFonts w:ascii="Arial" w:hAnsi="Arial" w:cs="Arial"/>
        </w:rPr>
        <w:t xml:space="preserve"> oder Naproxen zu oft und zu lange angewendet, steigt </w:t>
      </w:r>
      <w:r w:rsidR="004A659C">
        <w:rPr>
          <w:rFonts w:ascii="Arial" w:hAnsi="Arial" w:cs="Arial"/>
        </w:rPr>
        <w:t xml:space="preserve">unter anderem </w:t>
      </w:r>
      <w:r>
        <w:rPr>
          <w:rFonts w:ascii="Arial" w:hAnsi="Arial" w:cs="Arial"/>
        </w:rPr>
        <w:t xml:space="preserve">das Risiko für Magengeschwüre und Nierenschäden. Eine übermäßige Einnahme von Paracetamol kann Leberschäden verursachen. Wenn sich </w:t>
      </w:r>
      <w:r w:rsidR="00CA56E5">
        <w:rPr>
          <w:rFonts w:ascii="Arial" w:hAnsi="Arial" w:cs="Arial"/>
        </w:rPr>
        <w:t xml:space="preserve">nach langfristiger Einnahme </w:t>
      </w:r>
      <w:r>
        <w:rPr>
          <w:rFonts w:ascii="Arial" w:hAnsi="Arial" w:cs="Arial"/>
        </w:rPr>
        <w:t xml:space="preserve">der Körper zu sehr an Schmerzmittel gewöhnt hat, kann es beim Absetzen unter anderem zu Entwöhnungskopfschmerzen kommen. Entwickelt sich durch den übermäßigen Medikamentengebrauch gar ein chronischer Kopfschmerz, besteht die Gefahr, dass Betroffene zur Bekämpfung immer häufiger noch höhere </w:t>
      </w:r>
      <w:r w:rsidR="004A659C">
        <w:rPr>
          <w:rFonts w:ascii="Arial" w:hAnsi="Arial" w:cs="Arial"/>
        </w:rPr>
        <w:t>Dosierungen</w:t>
      </w:r>
      <w:r>
        <w:rPr>
          <w:rFonts w:ascii="Arial" w:hAnsi="Arial" w:cs="Arial"/>
        </w:rPr>
        <w:t xml:space="preserve"> einnehmen – ein Teufelskreis beginnt.</w:t>
      </w:r>
    </w:p>
    <w:p w:rsidR="000F2CF1" w:rsidRDefault="005845E4">
      <w:pPr>
        <w:jc w:val="both"/>
        <w:rPr>
          <w:rFonts w:ascii="Arial" w:hAnsi="Arial" w:cs="Arial"/>
          <w:b/>
        </w:rPr>
      </w:pPr>
      <w:r>
        <w:rPr>
          <w:rFonts w:ascii="Arial" w:hAnsi="Arial" w:cs="Arial"/>
          <w:b/>
        </w:rPr>
        <w:t>Apotheke berät zu geeigneten Präparaten</w:t>
      </w:r>
    </w:p>
    <w:p w:rsidR="000F2CF1" w:rsidRDefault="005845E4">
      <w:pPr>
        <w:jc w:val="both"/>
        <w:rPr>
          <w:rFonts w:ascii="Arial" w:hAnsi="Arial" w:cs="Arial"/>
        </w:rPr>
      </w:pPr>
      <w:r>
        <w:rPr>
          <w:rFonts w:ascii="Arial" w:hAnsi="Arial" w:cs="Arial"/>
        </w:rPr>
        <w:t>Schmerzleidende sollten ihre Beschwerden in der Apotheke vor Ort möglichst genau beschreiben. So kann die Apothekerin oder der Apotheker ein individuell geeignetes Schmerzmittel mit gut verträgliche</w:t>
      </w:r>
      <w:r w:rsidR="004A659C">
        <w:rPr>
          <w:rFonts w:ascii="Arial" w:hAnsi="Arial" w:cs="Arial"/>
        </w:rPr>
        <w:t>m</w:t>
      </w:r>
      <w:r>
        <w:rPr>
          <w:rFonts w:ascii="Arial" w:hAnsi="Arial" w:cs="Arial"/>
        </w:rPr>
        <w:t xml:space="preserve"> Wirkstoff</w:t>
      </w:r>
      <w:r w:rsidR="004A659C">
        <w:rPr>
          <w:rFonts w:ascii="Arial" w:hAnsi="Arial" w:cs="Arial"/>
        </w:rPr>
        <w:t xml:space="preserve"> oder ebensolcher Wirkstoffkombination</w:t>
      </w:r>
      <w:r>
        <w:rPr>
          <w:rFonts w:ascii="Arial" w:hAnsi="Arial" w:cs="Arial"/>
        </w:rPr>
        <w:t xml:space="preserve"> empfehlen. Dabei berücksichtigt sie oder er unter anderem das Alter der Patientin oder des Patienten sowie die Art und Stärke des Schmerzes. Ebenso </w:t>
      </w:r>
      <w:r w:rsidR="002B62E2">
        <w:rPr>
          <w:rFonts w:ascii="Arial" w:hAnsi="Arial" w:cs="Arial"/>
        </w:rPr>
        <w:t>berät</w:t>
      </w:r>
      <w:r>
        <w:rPr>
          <w:rFonts w:ascii="Arial" w:hAnsi="Arial" w:cs="Arial"/>
        </w:rPr>
        <w:t xml:space="preserve"> die Apothekerin oder der Apotheker</w:t>
      </w:r>
      <w:r w:rsidR="002B62E2">
        <w:rPr>
          <w:rFonts w:ascii="Arial" w:hAnsi="Arial" w:cs="Arial"/>
        </w:rPr>
        <w:t xml:space="preserve"> zu möglichen Nebenwirkungen. Gemeinsam mit den Patientinnen und Patienten wird dann geprüft</w:t>
      </w:r>
      <w:r>
        <w:rPr>
          <w:rFonts w:ascii="Arial" w:hAnsi="Arial" w:cs="Arial"/>
        </w:rPr>
        <w:t xml:space="preserve">, ob die Schmerzbeschwerden in einem angemessenen Verhältnis zu </w:t>
      </w:r>
      <w:r w:rsidR="002B62E2">
        <w:rPr>
          <w:rFonts w:ascii="Arial" w:hAnsi="Arial" w:cs="Arial"/>
        </w:rPr>
        <w:t>den</w:t>
      </w:r>
      <w:r>
        <w:rPr>
          <w:rFonts w:ascii="Arial" w:hAnsi="Arial" w:cs="Arial"/>
        </w:rPr>
        <w:t xml:space="preserve"> Nebenwirkungen stehen. Eine </w:t>
      </w:r>
      <w:r w:rsidR="00D9646E">
        <w:rPr>
          <w:rFonts w:ascii="Arial" w:hAnsi="Arial" w:cs="Arial"/>
        </w:rPr>
        <w:t xml:space="preserve">individuelle </w:t>
      </w:r>
      <w:r>
        <w:rPr>
          <w:rFonts w:ascii="Arial" w:hAnsi="Arial" w:cs="Arial"/>
        </w:rPr>
        <w:t>Beratung und professionelle pharmazeutische Einschätzung ist besonders wichtig, wenn es sich bei den Betroffenen um Kinder, Asthmatikerinnen oder Asthmatiker, Allergikerinnen oder Allergiker, chronisch Kranke, Schwangere, ältere Menschen, Nierenkranke oder Personen, die mehrere Medikamente einnehmen müssen, handelt.</w:t>
      </w:r>
    </w:p>
    <w:p w:rsidR="000F2CF1" w:rsidRDefault="005845E4">
      <w:pPr>
        <w:jc w:val="both"/>
        <w:rPr>
          <w:rFonts w:ascii="Arial" w:hAnsi="Arial" w:cs="Arial"/>
          <w:b/>
        </w:rPr>
      </w:pPr>
      <w:bookmarkStart w:id="0" w:name="_Hlk239685510"/>
      <w:r>
        <w:rPr>
          <w:rFonts w:ascii="Arial" w:hAnsi="Arial" w:cs="Arial"/>
          <w:b/>
        </w:rPr>
        <w:lastRenderedPageBreak/>
        <w:t>Wechselwirkungen vermeiden</w:t>
      </w:r>
    </w:p>
    <w:p w:rsidR="000F2CF1" w:rsidRDefault="005845E4">
      <w:pPr>
        <w:jc w:val="both"/>
        <w:rPr>
          <w:rFonts w:ascii="Arial" w:hAnsi="Arial" w:cs="Arial"/>
        </w:rPr>
      </w:pPr>
      <w:r>
        <w:rPr>
          <w:rFonts w:ascii="Arial" w:hAnsi="Arial" w:cs="Arial"/>
        </w:rPr>
        <w:t xml:space="preserve">Die Apothekerin oder der Apotheker erkundigt sich auch nach etwaigen weiteren Medikamenten, die eingenommen werden, um gefährliche Wechselwirkungen zu vermeiden: Acetylsalicylsäure, kurz ASS, zum Beispiel wirkt blutverdünnend und kann die Wirkung von Gerinnungshemmern verstärken, die etwa nach einem Schlaganfall verordnet werden. </w:t>
      </w:r>
      <w:r w:rsidR="004A659C" w:rsidRPr="004A659C">
        <w:rPr>
          <w:rFonts w:ascii="Arial" w:hAnsi="Arial" w:cs="Arial"/>
        </w:rPr>
        <w:t xml:space="preserve">Eine Kombination </w:t>
      </w:r>
      <w:r w:rsidR="004A659C">
        <w:rPr>
          <w:rFonts w:ascii="Arial" w:hAnsi="Arial" w:cs="Arial"/>
        </w:rPr>
        <w:t xml:space="preserve">mit </w:t>
      </w:r>
      <w:r w:rsidR="004A659C" w:rsidRPr="004A659C">
        <w:rPr>
          <w:rFonts w:ascii="Arial" w:hAnsi="Arial" w:cs="Arial"/>
        </w:rPr>
        <w:t>Ibuprofen kann</w:t>
      </w:r>
      <w:r w:rsidR="004A659C">
        <w:rPr>
          <w:rFonts w:ascii="Arial" w:hAnsi="Arial" w:cs="Arial"/>
        </w:rPr>
        <w:t xml:space="preserve"> hingegen </w:t>
      </w:r>
      <w:r w:rsidR="004A659C" w:rsidRPr="004A659C">
        <w:rPr>
          <w:rFonts w:ascii="Arial" w:hAnsi="Arial" w:cs="Arial"/>
        </w:rPr>
        <w:t xml:space="preserve">die blutverdünnende Wirkung von ASS </w:t>
      </w:r>
      <w:r w:rsidR="00DC3A2D">
        <w:rPr>
          <w:rFonts w:ascii="Arial" w:hAnsi="Arial" w:cs="Arial"/>
        </w:rPr>
        <w:t>beeinträchtigen</w:t>
      </w:r>
      <w:r w:rsidR="000A4A58">
        <w:rPr>
          <w:rFonts w:ascii="Arial" w:hAnsi="Arial" w:cs="Arial"/>
        </w:rPr>
        <w:t xml:space="preserve">. </w:t>
      </w:r>
      <w:r w:rsidR="000A4A58" w:rsidRPr="000A4A58">
        <w:rPr>
          <w:rFonts w:ascii="Arial" w:hAnsi="Arial" w:cs="Arial"/>
        </w:rPr>
        <w:t>Wer niedrig dosiertes ASS (zur Blutverdünnung/</w:t>
      </w:r>
      <w:proofErr w:type="spellStart"/>
      <w:r w:rsidR="000A4A58" w:rsidRPr="000A4A58">
        <w:rPr>
          <w:rFonts w:ascii="Arial" w:hAnsi="Arial" w:cs="Arial"/>
        </w:rPr>
        <w:t>Thrombozytenaggregationshemmung</w:t>
      </w:r>
      <w:proofErr w:type="spellEnd"/>
      <w:r w:rsidR="000A4A58" w:rsidRPr="000A4A58">
        <w:rPr>
          <w:rFonts w:ascii="Arial" w:hAnsi="Arial" w:cs="Arial"/>
        </w:rPr>
        <w:t xml:space="preserve">) einnimmt und zusätzlich Ibuprofen braucht, sollte ASS mindestens 30 Minuten vor oder mindestens </w:t>
      </w:r>
      <w:r w:rsidR="00225B32">
        <w:rPr>
          <w:rFonts w:ascii="Arial" w:hAnsi="Arial" w:cs="Arial"/>
        </w:rPr>
        <w:t>acht</w:t>
      </w:r>
      <w:r w:rsidR="000A4A58" w:rsidRPr="000A4A58">
        <w:rPr>
          <w:rFonts w:ascii="Arial" w:hAnsi="Arial" w:cs="Arial"/>
        </w:rPr>
        <w:t xml:space="preserve"> Stunden </w:t>
      </w:r>
      <w:proofErr w:type="gramStart"/>
      <w:r w:rsidR="000A4A58" w:rsidRPr="000A4A58">
        <w:rPr>
          <w:rFonts w:ascii="Arial" w:hAnsi="Arial" w:cs="Arial"/>
        </w:rPr>
        <w:t>nach der Ibuprofen</w:t>
      </w:r>
      <w:proofErr w:type="gramEnd"/>
      <w:r w:rsidR="000A4A58" w:rsidRPr="000A4A58">
        <w:rPr>
          <w:rFonts w:ascii="Cambria Math" w:hAnsi="Cambria Math" w:cs="Cambria Math"/>
        </w:rPr>
        <w:t>‑</w:t>
      </w:r>
      <w:r w:rsidR="000A4A58" w:rsidRPr="000A4A58">
        <w:rPr>
          <w:rFonts w:ascii="Arial" w:hAnsi="Arial" w:cs="Arial"/>
        </w:rPr>
        <w:t xml:space="preserve">Einnahme schlucken. </w:t>
      </w:r>
      <w:r w:rsidR="00EA7DCE">
        <w:rPr>
          <w:rFonts w:ascii="Arial" w:hAnsi="Arial" w:cs="Arial"/>
        </w:rPr>
        <w:t>Generell</w:t>
      </w:r>
      <w:r w:rsidR="004A659C">
        <w:rPr>
          <w:rFonts w:ascii="Arial" w:hAnsi="Arial" w:cs="Arial"/>
        </w:rPr>
        <w:t xml:space="preserve"> kann </w:t>
      </w:r>
      <w:r>
        <w:rPr>
          <w:rFonts w:ascii="Arial" w:hAnsi="Arial" w:cs="Arial"/>
        </w:rPr>
        <w:t>Ibuprofen vor allem die Wirkung von Blutdrucksenkern abschwächen und</w:t>
      </w:r>
      <w:r w:rsidR="00CE4974">
        <w:rPr>
          <w:rFonts w:ascii="Arial" w:hAnsi="Arial" w:cs="Arial"/>
        </w:rPr>
        <w:t xml:space="preserve"> zum Beispiel</w:t>
      </w:r>
      <w:r>
        <w:rPr>
          <w:rFonts w:ascii="Arial" w:hAnsi="Arial" w:cs="Arial"/>
        </w:rPr>
        <w:t xml:space="preserve"> in Kombination mit </w:t>
      </w:r>
      <w:proofErr w:type="spellStart"/>
      <w:r w:rsidRPr="005845E4">
        <w:rPr>
          <w:rFonts w:ascii="Arial" w:hAnsi="Arial" w:cs="Arial"/>
        </w:rPr>
        <w:t>Kortisonpräparaten</w:t>
      </w:r>
      <w:proofErr w:type="spellEnd"/>
      <w:r>
        <w:rPr>
          <w:rFonts w:ascii="Arial" w:hAnsi="Arial" w:cs="Arial"/>
        </w:rPr>
        <w:t xml:space="preserve"> das Risiko für </w:t>
      </w:r>
      <w:r w:rsidR="003D0A6A">
        <w:rPr>
          <w:rFonts w:ascii="Arial" w:hAnsi="Arial" w:cs="Arial"/>
        </w:rPr>
        <w:t xml:space="preserve">Magenschleimhautschädigungen sowie </w:t>
      </w:r>
      <w:r>
        <w:rPr>
          <w:rFonts w:ascii="Arial" w:hAnsi="Arial" w:cs="Arial"/>
        </w:rPr>
        <w:t xml:space="preserve">Magenblutungen erhöhen. Paracetamol kann bei übermäßigem Gebrauch oder </w:t>
      </w:r>
      <w:r w:rsidRPr="005845E4">
        <w:rPr>
          <w:rFonts w:ascii="Arial" w:hAnsi="Arial" w:cs="Arial"/>
        </w:rPr>
        <w:t>zum Beispiel in Kombination mit zusätzlichem Alkoholkonsum</w:t>
      </w:r>
      <w:r>
        <w:rPr>
          <w:rFonts w:ascii="Arial" w:hAnsi="Arial" w:cs="Arial"/>
        </w:rPr>
        <w:t xml:space="preserve"> die Leber schädigen. Bestehen die Beschwerden trotz des Schmerzmittels fort, kann die Patientin oder der Patient nach einem erneuten Gespräch in der Arztpraxis ein stärkeres Medikament anwenden. Anhaltende Schmerzen sollten immer ärztlich abgeklärt werden, um </w:t>
      </w:r>
      <w:r w:rsidR="004A659C">
        <w:rPr>
          <w:rFonts w:ascii="Arial" w:hAnsi="Arial" w:cs="Arial"/>
        </w:rPr>
        <w:t>der</w:t>
      </w:r>
      <w:r>
        <w:rPr>
          <w:rFonts w:ascii="Arial" w:hAnsi="Arial" w:cs="Arial"/>
        </w:rPr>
        <w:t xml:space="preserve"> Ursache </w:t>
      </w:r>
      <w:r w:rsidR="004A659C">
        <w:rPr>
          <w:rFonts w:ascii="Arial" w:hAnsi="Arial" w:cs="Arial"/>
        </w:rPr>
        <w:t xml:space="preserve">auf den Grund zu gehen und sie </w:t>
      </w:r>
      <w:r>
        <w:rPr>
          <w:rFonts w:ascii="Arial" w:hAnsi="Arial" w:cs="Arial"/>
        </w:rPr>
        <w:t>wirksam zu bekämpfen.</w:t>
      </w:r>
    </w:p>
    <w:bookmarkEnd w:id="0"/>
    <w:p w:rsidR="000F2CF1" w:rsidRDefault="005845E4">
      <w:pPr>
        <w:jc w:val="both"/>
        <w:rPr>
          <w:rFonts w:ascii="Arial" w:hAnsi="Arial" w:cs="Arial"/>
          <w:b/>
        </w:rPr>
      </w:pPr>
      <w:r>
        <w:rPr>
          <w:rFonts w:ascii="Arial" w:hAnsi="Arial" w:cs="Arial"/>
          <w:b/>
        </w:rPr>
        <w:t>Schmerzmittel je nach Art der Beschwerden wählen</w:t>
      </w:r>
    </w:p>
    <w:p w:rsidR="000F2CF1" w:rsidRDefault="005845E4">
      <w:pPr>
        <w:jc w:val="both"/>
        <w:rPr>
          <w:rFonts w:ascii="Arial" w:hAnsi="Arial" w:cs="Arial"/>
        </w:rPr>
      </w:pPr>
      <w:r>
        <w:rPr>
          <w:rFonts w:ascii="Arial" w:hAnsi="Arial" w:cs="Arial"/>
        </w:rPr>
        <w:t xml:space="preserve">Nicht jedes rezeptfreie Schmerzmittel </w:t>
      </w:r>
      <w:r>
        <w:rPr>
          <w:rFonts w:ascii="Arial" w:hAnsi="Arial" w:cs="Arial"/>
          <w:color w:val="auto"/>
        </w:rPr>
        <w:t xml:space="preserve">hilft gleich gegen </w:t>
      </w:r>
      <w:r>
        <w:rPr>
          <w:rFonts w:ascii="Arial" w:hAnsi="Arial" w:cs="Arial"/>
        </w:rPr>
        <w:t xml:space="preserve">jeden Schmerz. Bei </w:t>
      </w:r>
      <w:r w:rsidR="00DC3D6E">
        <w:rPr>
          <w:rFonts w:ascii="Arial" w:hAnsi="Arial" w:cs="Arial"/>
        </w:rPr>
        <w:t xml:space="preserve">leichten </w:t>
      </w:r>
      <w:proofErr w:type="gramStart"/>
      <w:r w:rsidR="00DC3D6E">
        <w:rPr>
          <w:rFonts w:ascii="Arial" w:hAnsi="Arial" w:cs="Arial"/>
        </w:rPr>
        <w:t>bis mäßig starken Schmerzen</w:t>
      </w:r>
      <w:proofErr w:type="gramEnd"/>
      <w:r w:rsidR="00DC3D6E">
        <w:rPr>
          <w:rFonts w:ascii="Arial" w:hAnsi="Arial" w:cs="Arial"/>
        </w:rPr>
        <w:t xml:space="preserve"> sind Ibuprofen, </w:t>
      </w:r>
      <w:proofErr w:type="spellStart"/>
      <w:r w:rsidR="00DC3D6E">
        <w:rPr>
          <w:rFonts w:ascii="Arial" w:hAnsi="Arial" w:cs="Arial"/>
        </w:rPr>
        <w:t>Diclofenac</w:t>
      </w:r>
      <w:proofErr w:type="spellEnd"/>
      <w:r w:rsidR="00DC3D6E">
        <w:rPr>
          <w:rFonts w:ascii="Arial" w:hAnsi="Arial" w:cs="Arial"/>
        </w:rPr>
        <w:t xml:space="preserve"> und Naproxen gut geeignet, die zusätzlich auch fiebersenkend wirken</w:t>
      </w:r>
      <w:r>
        <w:rPr>
          <w:rFonts w:ascii="Arial" w:hAnsi="Arial" w:cs="Arial"/>
        </w:rPr>
        <w:t xml:space="preserve">. </w:t>
      </w:r>
      <w:r w:rsidR="00DC3D6E">
        <w:rPr>
          <w:rFonts w:ascii="Arial" w:hAnsi="Arial" w:cs="Arial"/>
        </w:rPr>
        <w:t xml:space="preserve">Ibuprofen ist in rezeptfreier Dosierung zudem zur Behandlung akuter Kopfschmerzen bei Migräne mit oder ohne Aura zugelassen. </w:t>
      </w:r>
      <w:r>
        <w:rPr>
          <w:rFonts w:ascii="Arial" w:hAnsi="Arial" w:cs="Arial"/>
        </w:rPr>
        <w:t xml:space="preserve">Etwaige unerwünschte Nebenwirkungen hängen </w:t>
      </w:r>
      <w:r w:rsidR="0010718A">
        <w:rPr>
          <w:rFonts w:ascii="Arial" w:hAnsi="Arial" w:cs="Arial"/>
        </w:rPr>
        <w:t xml:space="preserve">unter anderem </w:t>
      </w:r>
      <w:r>
        <w:rPr>
          <w:rFonts w:ascii="Arial" w:hAnsi="Arial" w:cs="Arial"/>
        </w:rPr>
        <w:t>von der Dosis und Anwendungsdauer ab. Zu den häufigen Nebenwirkungen</w:t>
      </w:r>
      <w:r w:rsidR="005B0811">
        <w:rPr>
          <w:rFonts w:ascii="Arial" w:hAnsi="Arial" w:cs="Arial"/>
        </w:rPr>
        <w:t xml:space="preserve"> </w:t>
      </w:r>
      <w:r w:rsidR="00DC3D6E">
        <w:rPr>
          <w:rFonts w:ascii="Arial" w:hAnsi="Arial" w:cs="Arial"/>
        </w:rPr>
        <w:t xml:space="preserve">zum Beispiel </w:t>
      </w:r>
      <w:r>
        <w:rPr>
          <w:rFonts w:ascii="Arial" w:hAnsi="Arial" w:cs="Arial"/>
        </w:rPr>
        <w:t xml:space="preserve">bei Ibuprofen </w:t>
      </w:r>
      <w:r w:rsidR="00DC3D6E">
        <w:rPr>
          <w:rFonts w:ascii="Arial" w:hAnsi="Arial" w:cs="Arial"/>
          <w:color w:val="auto"/>
        </w:rPr>
        <w:t xml:space="preserve">zählen </w:t>
      </w:r>
      <w:r>
        <w:rPr>
          <w:rFonts w:ascii="Arial" w:hAnsi="Arial" w:cs="Arial"/>
        </w:rPr>
        <w:t>Sodbrennen, Bauchschmerzen, Übelkeit, Erbrechen, Durchfall und Verstopfung.</w:t>
      </w:r>
    </w:p>
    <w:p w:rsidR="000F2CF1" w:rsidRDefault="005845E4">
      <w:pPr>
        <w:jc w:val="both"/>
        <w:rPr>
          <w:rFonts w:ascii="Arial" w:hAnsi="Arial" w:cs="Arial"/>
          <w:b/>
        </w:rPr>
      </w:pPr>
      <w:r>
        <w:rPr>
          <w:rFonts w:ascii="Arial" w:hAnsi="Arial" w:cs="Arial"/>
          <w:b/>
        </w:rPr>
        <w:t>Schmerz lindern auch ohne Medikamente</w:t>
      </w:r>
    </w:p>
    <w:p w:rsidR="000F2CF1" w:rsidRDefault="005845E4">
      <w:pPr>
        <w:jc w:val="both"/>
        <w:rPr>
          <w:rFonts w:ascii="Arial" w:hAnsi="Arial" w:cs="Arial"/>
        </w:rPr>
      </w:pPr>
      <w:r>
        <w:rPr>
          <w:rFonts w:ascii="Arial" w:hAnsi="Arial" w:cs="Arial"/>
        </w:rPr>
        <w:t xml:space="preserve">Wer auf Schmerzmittel verzichten oder die Linderung unterstützen möchte, kann dies durch einige zusätzliche Maßnahmen tun. Bei einem verspannten Rücken </w:t>
      </w:r>
      <w:r w:rsidR="00522BDF">
        <w:rPr>
          <w:rFonts w:ascii="Arial" w:hAnsi="Arial" w:cs="Arial"/>
        </w:rPr>
        <w:t>kann</w:t>
      </w:r>
      <w:r>
        <w:rPr>
          <w:rFonts w:ascii="Arial" w:hAnsi="Arial" w:cs="Arial"/>
        </w:rPr>
        <w:t xml:space="preserve"> zum Beispiel gezielte Wärme helfen. </w:t>
      </w:r>
      <w:r w:rsidR="000724D6">
        <w:rPr>
          <w:rFonts w:ascii="Arial" w:hAnsi="Arial" w:cs="Arial"/>
        </w:rPr>
        <w:t>Diese</w:t>
      </w:r>
      <w:r>
        <w:rPr>
          <w:rFonts w:ascii="Arial" w:hAnsi="Arial" w:cs="Arial"/>
        </w:rPr>
        <w:t xml:space="preserve"> regt die Durchblutung an und trägt somit zur Entspannung der Muskulatur bei. Zu Hause ist eine Wärmflasche gut geeignet, um Muskelverspannungen zu lösen. Für unterwegs sind Wärmepflaster oder -auflagen aus der Apotheke empfehlenswert.</w:t>
      </w:r>
    </w:p>
    <w:p w:rsidR="000F2CF1" w:rsidRDefault="005845E4">
      <w:pPr>
        <w:rPr>
          <w:rFonts w:ascii="Arial" w:hAnsi="Arial" w:cs="Arial"/>
          <w:i/>
          <w:iCs/>
        </w:rPr>
      </w:pPr>
      <w:r>
        <w:rPr>
          <w:rFonts w:ascii="Arial" w:hAnsi="Arial" w:cs="Arial"/>
          <w:i/>
          <w:iCs/>
        </w:rPr>
        <w:t>Die Apothekerkammer Niedersachsen vertritt mehr als 8.500 Apothekerinnen und Apotheker. Sie sorgen täglich dafür, dass Patientinnen und Patienten ihre Medikamente sicher anwenden können. Denn: Ohne fachliche Prüfung und Einordnung können gerade bei mehreren Arzneimitteln, bei Selbstmedikation oder chronischen Erkrankungen vermeidbare Risiken entstehen.</w:t>
      </w:r>
    </w:p>
    <w:p w:rsidR="000F2CF1" w:rsidRDefault="005845E4">
      <w:pPr>
        <w:rPr>
          <w:rFonts w:ascii="Arial" w:hAnsi="Arial" w:cs="Arial"/>
          <w:i/>
          <w:iCs/>
        </w:rPr>
      </w:pPr>
      <w:r>
        <w:rPr>
          <w:rFonts w:ascii="Arial" w:hAnsi="Arial" w:cs="Arial"/>
          <w:i/>
          <w:iCs/>
        </w:rPr>
        <w:t xml:space="preserve">Apothekerinnen und Apotheker sind unabhängige </w:t>
      </w:r>
      <w:proofErr w:type="spellStart"/>
      <w:r>
        <w:rPr>
          <w:rFonts w:ascii="Arial" w:hAnsi="Arial" w:cs="Arial"/>
          <w:i/>
          <w:iCs/>
        </w:rPr>
        <w:t>Heilberufler</w:t>
      </w:r>
      <w:proofErr w:type="spellEnd"/>
      <w:r>
        <w:rPr>
          <w:rFonts w:ascii="Arial" w:hAnsi="Arial" w:cs="Arial"/>
          <w:i/>
          <w:iCs/>
        </w:rPr>
        <w:t xml:space="preserve"> mit universitärer Ausbildung und staatlicher Zulassung. Sie behalten den Überblick über alle Medikamente, erkennen mögliche Wechselwirkungen und erklären verständlich, worauf im Alltag zu achten ist. So tragen sie entscheidend dazu bei, dass Arzneimitteltherapien sicher und wirksam bleiben.</w:t>
      </w:r>
    </w:p>
    <w:p w:rsidR="000F2CF1" w:rsidRDefault="005845E4">
      <w:pPr>
        <w:rPr>
          <w:rFonts w:ascii="Arial" w:hAnsi="Arial" w:cs="Arial"/>
          <w:i/>
          <w:iCs/>
        </w:rPr>
      </w:pPr>
      <w:r>
        <w:rPr>
          <w:rFonts w:ascii="Arial" w:hAnsi="Arial" w:cs="Arial"/>
          <w:i/>
          <w:iCs/>
        </w:rPr>
        <w:lastRenderedPageBreak/>
        <w:t>Die Apotheke ist die zentrale Anlaufstelle für alle Fragen rund um Medikamente. Hier wird zusammengeführt, was Patientinnen und Patienten von verschiedenen Ärztinnen und Ärzten oder aus der Selbstmedikation erhalten. Risiken werden frühzeitig erkannt und verständlich erklärt – damit pharmazeutische Behandlungen im Alltag sicher umgesetzt werden können.</w:t>
      </w:r>
    </w:p>
    <w:p w:rsidR="000F2CF1" w:rsidRDefault="005845E4">
      <w:pPr>
        <w:rPr>
          <w:rFonts w:ascii="Arial" w:hAnsi="Arial" w:cs="Arial"/>
        </w:rPr>
      </w:pPr>
      <w:r w:rsidRPr="00225B32">
        <w:rPr>
          <w:rFonts w:ascii="Arial" w:hAnsi="Arial" w:cs="Arial"/>
        </w:rPr>
        <w:t xml:space="preserve">Zeichen </w:t>
      </w:r>
      <w:r w:rsidR="007A08EB" w:rsidRPr="00225B32">
        <w:rPr>
          <w:rFonts w:ascii="Arial" w:hAnsi="Arial" w:cs="Arial"/>
        </w:rPr>
        <w:t>6.1</w:t>
      </w:r>
      <w:r w:rsidR="005748DF">
        <w:rPr>
          <w:rFonts w:ascii="Arial" w:hAnsi="Arial" w:cs="Arial"/>
        </w:rPr>
        <w:t>8</w:t>
      </w:r>
      <w:bookmarkStart w:id="1" w:name="_GoBack"/>
      <w:bookmarkEnd w:id="1"/>
      <w:r w:rsidR="00225B32" w:rsidRPr="00225B32">
        <w:rPr>
          <w:rFonts w:ascii="Arial" w:hAnsi="Arial" w:cs="Arial"/>
        </w:rPr>
        <w:t>7</w:t>
      </w:r>
      <w:r w:rsidR="007A08EB" w:rsidRPr="00225B32">
        <w:rPr>
          <w:rFonts w:ascii="Arial" w:hAnsi="Arial" w:cs="Arial"/>
        </w:rPr>
        <w:t xml:space="preserve"> </w:t>
      </w:r>
      <w:r w:rsidRPr="00225B32">
        <w:rPr>
          <w:rFonts w:ascii="Arial" w:hAnsi="Arial" w:cs="Arial"/>
        </w:rPr>
        <w:t>inkl. Leerzeichen</w:t>
      </w:r>
    </w:p>
    <w:p w:rsidR="000F2CF1" w:rsidRDefault="005845E4">
      <w:pPr>
        <w:jc w:val="both"/>
        <w:rPr>
          <w:rFonts w:ascii="Arial" w:hAnsi="Arial" w:cs="Arial"/>
        </w:rPr>
      </w:pPr>
      <w:r>
        <w:rPr>
          <w:rFonts w:ascii="Arial" w:hAnsi="Arial" w:cs="Arial"/>
        </w:rPr>
        <w:t xml:space="preserve">Diese Pressemitteilung finden Sie auch unter </w:t>
      </w:r>
      <w:hyperlink r:id="rId11">
        <w:r>
          <w:rPr>
            <w:rFonts w:ascii="Arial" w:hAnsi="Arial" w:cs="Arial"/>
            <w:color w:val="0000FC"/>
            <w:u w:val="single"/>
          </w:rPr>
          <w:t>www.apothekerkammer-niedersachsen.de</w:t>
        </w:r>
      </w:hyperlink>
      <w:r>
        <w:rPr>
          <w:rFonts w:ascii="Arial" w:hAnsi="Arial" w:cs="Arial"/>
        </w:rPr>
        <w:t>.</w:t>
      </w:r>
    </w:p>
    <w:p w:rsidR="000F2CF1" w:rsidRDefault="005845E4">
      <w:r>
        <w:rPr>
          <w:rFonts w:ascii="Arial" w:hAnsi="Arial" w:cs="Arial"/>
          <w:b/>
          <w:spacing w:val="-3"/>
        </w:rPr>
        <w:t>Pressekontakt der Apothekerkammer Niedersachsen:</w:t>
      </w:r>
      <w:r>
        <w:rPr>
          <w:rFonts w:ascii="Arial" w:hAnsi="Arial" w:cs="Arial"/>
          <w:b/>
          <w:spacing w:val="-3"/>
        </w:rPr>
        <w:br/>
      </w:r>
      <w:r>
        <w:rPr>
          <w:rFonts w:ascii="Arial" w:hAnsi="Arial" w:cs="Arial"/>
        </w:rPr>
        <w:t>Azet</w:t>
      </w:r>
      <w:r>
        <w:rPr>
          <w:rFonts w:ascii="Arial" w:hAnsi="Arial" w:cs="Arial"/>
          <w:b/>
        </w:rPr>
        <w:t>PR</w:t>
      </w:r>
      <w:r>
        <w:rPr>
          <w:rFonts w:ascii="Arial" w:hAnsi="Arial" w:cs="Arial"/>
        </w:rPr>
        <w:br/>
        <w:t xml:space="preserve">c/o </w:t>
      </w:r>
      <w:proofErr w:type="spellStart"/>
      <w:r>
        <w:rPr>
          <w:rFonts w:ascii="Arial" w:hAnsi="Arial" w:cs="Arial"/>
        </w:rPr>
        <w:t>Grindelwerk</w:t>
      </w:r>
      <w:proofErr w:type="spellEnd"/>
      <w:r>
        <w:rPr>
          <w:rFonts w:ascii="Arial" w:hAnsi="Arial" w:cs="Arial"/>
        </w:rPr>
        <w:br/>
        <w:t>Andrea Zaszczynski</w:t>
      </w:r>
      <w:r>
        <w:rPr>
          <w:rFonts w:ascii="Arial" w:hAnsi="Arial" w:cs="Arial"/>
        </w:rPr>
        <w:br/>
      </w:r>
      <w:proofErr w:type="spellStart"/>
      <w:r>
        <w:rPr>
          <w:rFonts w:ascii="Arial" w:hAnsi="Arial" w:cs="Arial"/>
        </w:rPr>
        <w:t>Grindelberg</w:t>
      </w:r>
      <w:proofErr w:type="spellEnd"/>
      <w:r>
        <w:rPr>
          <w:rFonts w:ascii="Arial" w:hAnsi="Arial" w:cs="Arial"/>
        </w:rPr>
        <w:t xml:space="preserve"> 17, 20144 Hamburg</w:t>
      </w:r>
      <w:r>
        <w:rPr>
          <w:rFonts w:ascii="Arial" w:hAnsi="Arial" w:cs="Arial"/>
        </w:rPr>
        <w:br/>
        <w:t>Telefon: 040 / 41 32 700</w:t>
      </w:r>
      <w:r>
        <w:rPr>
          <w:rFonts w:ascii="Arial" w:hAnsi="Arial" w:cs="Arial"/>
        </w:rPr>
        <w:br/>
      </w:r>
      <w:hyperlink r:id="rId12">
        <w:r>
          <w:rPr>
            <w:rFonts w:ascii="Arial" w:hAnsi="Arial" w:cs="Arial"/>
            <w:color w:val="0000FC"/>
            <w:u w:val="single"/>
          </w:rPr>
          <w:t>info@azetpr.com</w:t>
        </w:r>
      </w:hyperlink>
    </w:p>
    <w:p w:rsidR="000F2CF1" w:rsidRDefault="005845E4">
      <w:r>
        <w:rPr>
          <w:rFonts w:ascii="Arial" w:hAnsi="Arial" w:cs="Arial"/>
          <w:b/>
          <w:lang w:eastAsia="de-DE"/>
        </w:rPr>
        <w:t>Apothekerkammer Niedersachsen</w:t>
      </w:r>
      <w:r>
        <w:rPr>
          <w:rFonts w:ascii="Arial" w:hAnsi="Arial" w:cs="Arial"/>
          <w:b/>
          <w:lang w:eastAsia="de-DE"/>
        </w:rPr>
        <w:br/>
      </w:r>
      <w:r>
        <w:rPr>
          <w:rFonts w:ascii="Arial" w:hAnsi="Arial" w:cs="Arial"/>
        </w:rPr>
        <w:t>Panagiota Fyssa</w:t>
      </w:r>
      <w:r>
        <w:rPr>
          <w:rFonts w:ascii="Arial" w:hAnsi="Arial" w:cs="Arial"/>
        </w:rPr>
        <w:br/>
        <w:t>An der Markuskirche 4</w:t>
      </w:r>
      <w:r>
        <w:rPr>
          <w:rFonts w:ascii="Arial" w:hAnsi="Arial" w:cs="Arial"/>
        </w:rPr>
        <w:br/>
        <w:t>30163 Hannover</w:t>
      </w:r>
      <w:r>
        <w:rPr>
          <w:rFonts w:ascii="Arial" w:hAnsi="Arial" w:cs="Arial"/>
        </w:rPr>
        <w:br/>
        <w:t>Telefon: 0511 39099-0</w:t>
      </w:r>
      <w:r>
        <w:rPr>
          <w:rFonts w:ascii="Arial" w:hAnsi="Arial" w:cs="Arial"/>
        </w:rPr>
        <w:br/>
      </w:r>
      <w:hyperlink r:id="rId13">
        <w:r>
          <w:rPr>
            <w:rFonts w:ascii="Arial" w:hAnsi="Arial" w:cs="Arial"/>
            <w:color w:val="0000FC"/>
            <w:u w:val="single"/>
          </w:rPr>
          <w:t>presse@apothekerkammer-nds.de</w:t>
        </w:r>
      </w:hyperlink>
      <w:r>
        <w:rPr>
          <w:rFonts w:ascii="Arial" w:hAnsi="Arial" w:cs="Arial"/>
          <w:color w:val="0000FC"/>
        </w:rPr>
        <w:br/>
      </w:r>
      <w:hyperlink r:id="rId14">
        <w:r>
          <w:rPr>
            <w:rFonts w:ascii="Arial" w:hAnsi="Arial" w:cs="Arial"/>
            <w:color w:val="0000FC"/>
            <w:u w:val="single"/>
          </w:rPr>
          <w:t>www.facebook.com/apokammer.nds</w:t>
        </w:r>
      </w:hyperlink>
    </w:p>
    <w:sectPr w:rsidR="000F2CF1">
      <w:headerReference w:type="even" r:id="rId15"/>
      <w:headerReference w:type="default" r:id="rId16"/>
      <w:headerReference w:type="first" r:id="rId17"/>
      <w:pgSz w:w="11906" w:h="16838"/>
      <w:pgMar w:top="1417" w:right="1417" w:bottom="1134" w:left="1417" w:header="708" w:footer="0" w:gutter="0"/>
      <w:cols w:space="720"/>
      <w:formProt w:val="0"/>
      <w:docGrid w:linePitch="10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FEC9E6F" w16cex:dateUtc="2026-09-03T10:06:00Z"/>
  <w16cex:commentExtensible w16cex:durableId="00143950" w16cex:dateUtc="2026-09-03T10:08:00Z"/>
  <w16cex:commentExtensible w16cex:durableId="5A5D254B" w16cex:dateUtc="2026-09-03T07:06:00Z"/>
  <w16cex:commentExtensible w16cex:durableId="51010D67" w16cex:dateUtc="2026-09-03T10:11:00Z"/>
  <w16cex:commentExtensible w16cex:durableId="1F9C01EC" w16cex:dateUtc="2026-09-03T10:11:00Z"/>
  <w16cex:commentExtensible w16cex:durableId="0B5D526F" w16cex:dateUtc="2026-09-03T07:08:00Z"/>
  <w16cex:commentExtensible w16cex:durableId="3458B629" w16cex:dateUtc="2026-09-03T07:16:00Z"/>
  <w16cex:commentExtensible w16cex:durableId="07C2F144" w16cex:dateUtc="2026-09-03T10:17:00Z"/>
  <w16cex:commentExtensible w16cex:durableId="1CADC12F" w16cex:dateUtc="2026-09-03T10:18:00Z"/>
  <w16cex:commentExtensible w16cex:durableId="7A466A07" w16cex:dateUtc="2026-09-03T10:01:00Z"/>
  <w16cex:commentExtensible w16cex:durableId="1CD7D7A0" w16cex:dateUtc="2026-09-03T10:00:00Z"/>
  <w16cex:commentExtensible w16cex:durableId="3ECB98B5" w16cex:dateUtc="2026-09-03T09:52:00Z"/>
  <w16cex:commentExtensible w16cex:durableId="58E0E893" w16cex:dateUtc="2026-09-03T09:56:00Z"/>
  <w16cex:commentExtensible w16cex:durableId="3C2888FF" w16cex:dateUtc="2026-09-03T07:46:00Z"/>
  <w16cex:commentExtensible w16cex:durableId="4A750766" w16cex:dateUtc="2026-09-03T10:54:00Z"/>
  <w16cex:commentExtensible w16cex:durableId="405BC6E5" w16cex:dateUtc="2026-09-03T10:56:00Z"/>
  <w16cex:commentExtensible w16cex:durableId="79760EBF" w16cex:dateUtc="2026-09-03T10:57: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B3C19" w:rsidRDefault="00EB3C19">
      <w:pPr>
        <w:spacing w:before="0" w:after="0" w:line="240" w:lineRule="auto"/>
      </w:pPr>
      <w:r>
        <w:separator/>
      </w:r>
    </w:p>
  </w:endnote>
  <w:endnote w:type="continuationSeparator" w:id="0">
    <w:p w:rsidR="00EB3C19" w:rsidRDefault="00EB3C19">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F">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Helvetica Neue">
    <w:charset w:val="00"/>
    <w:family w:val="roman"/>
    <w:pitch w:val="variable"/>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B3C19" w:rsidRDefault="00EB3C19">
      <w:pPr>
        <w:spacing w:before="0" w:after="0" w:line="240" w:lineRule="auto"/>
      </w:pPr>
      <w:r>
        <w:separator/>
      </w:r>
    </w:p>
  </w:footnote>
  <w:footnote w:type="continuationSeparator" w:id="0">
    <w:p w:rsidR="00EB3C19" w:rsidRDefault="00EB3C19">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62E2" w:rsidRDefault="002B62E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62E2" w:rsidRDefault="002B62E2">
    <w:pPr>
      <w:pStyle w:val="Kopfzeile"/>
      <w:tabs>
        <w:tab w:val="left" w:pos="2355"/>
      </w:tabs>
    </w:pPr>
    <w:r>
      <w:tab/>
    </w:r>
    <w:r>
      <w:rPr>
        <w:noProof/>
      </w:rPr>
      <w:drawing>
        <wp:inline distT="0" distB="0" distL="0" distR="0" wp14:anchorId="328F6686" wp14:editId="425CEC2F">
          <wp:extent cx="5740400" cy="100330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1"/>
                  <pic:cNvPicPr>
                    <a:picLocks noChangeAspect="1" noChangeArrowheads="1"/>
                  </pic:cNvPicPr>
                </pic:nvPicPr>
                <pic:blipFill>
                  <a:blip r:embed="rId1"/>
                  <a:stretch>
                    <a:fillRect/>
                  </a:stretch>
                </pic:blipFill>
                <pic:spPr bwMode="auto">
                  <a:xfrm>
                    <a:off x="0" y="0"/>
                    <a:ext cx="5740400" cy="1003300"/>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62E2" w:rsidRDefault="002B62E2">
    <w:pPr>
      <w:pStyle w:val="Kopfzeile"/>
      <w:tabs>
        <w:tab w:val="left" w:pos="2355"/>
      </w:tabs>
    </w:pPr>
    <w:r>
      <w:tab/>
    </w:r>
    <w:r>
      <w:rPr>
        <w:noProof/>
      </w:rPr>
      <w:drawing>
        <wp:inline distT="0" distB="0" distL="0" distR="0" wp14:anchorId="01DDA82F" wp14:editId="2F89D623">
          <wp:extent cx="5740400" cy="1003300"/>
          <wp:effectExtent l="0" t="0" r="0" b="0"/>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1"/>
                  <pic:cNvPicPr>
                    <a:picLocks noChangeAspect="1" noChangeArrowheads="1"/>
                  </pic:cNvPicPr>
                </pic:nvPicPr>
                <pic:blipFill>
                  <a:blip r:embed="rId1"/>
                  <a:stretch>
                    <a:fillRect/>
                  </a:stretch>
                </pic:blipFill>
                <pic:spPr bwMode="auto">
                  <a:xfrm>
                    <a:off x="0" y="0"/>
                    <a:ext cx="5740400" cy="1003300"/>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mailMerge>
    <w:mainDocumentType w:val="formLetters"/>
    <w:dataType w:val="textFile"/>
    <w:query w:val="SELECT * FROM Aufgaben NAMEN Vorlage Kopie.dbo.ÜBERSICHT$"/>
  </w:mailMerge>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CF1"/>
    <w:rsid w:val="000724D6"/>
    <w:rsid w:val="000A4A58"/>
    <w:rsid w:val="000F2CF1"/>
    <w:rsid w:val="0010718A"/>
    <w:rsid w:val="001766CF"/>
    <w:rsid w:val="001C0B73"/>
    <w:rsid w:val="002112D8"/>
    <w:rsid w:val="00217092"/>
    <w:rsid w:val="00225B32"/>
    <w:rsid w:val="00236E20"/>
    <w:rsid w:val="002549B1"/>
    <w:rsid w:val="002A4F23"/>
    <w:rsid w:val="002B62E2"/>
    <w:rsid w:val="002D0C3F"/>
    <w:rsid w:val="002F217B"/>
    <w:rsid w:val="00345C00"/>
    <w:rsid w:val="0035494E"/>
    <w:rsid w:val="003B1A85"/>
    <w:rsid w:val="003D0A6A"/>
    <w:rsid w:val="003E6D8E"/>
    <w:rsid w:val="00465AE6"/>
    <w:rsid w:val="004A659C"/>
    <w:rsid w:val="004E1F16"/>
    <w:rsid w:val="005056AB"/>
    <w:rsid w:val="00522BDF"/>
    <w:rsid w:val="005748DF"/>
    <w:rsid w:val="00575A01"/>
    <w:rsid w:val="005845E4"/>
    <w:rsid w:val="005B0811"/>
    <w:rsid w:val="005B2B9B"/>
    <w:rsid w:val="00776A73"/>
    <w:rsid w:val="00792F52"/>
    <w:rsid w:val="007A08EB"/>
    <w:rsid w:val="008E790D"/>
    <w:rsid w:val="0090669B"/>
    <w:rsid w:val="009179EB"/>
    <w:rsid w:val="00924DF9"/>
    <w:rsid w:val="009902B6"/>
    <w:rsid w:val="00A43EF9"/>
    <w:rsid w:val="00A46DF1"/>
    <w:rsid w:val="00AA40B9"/>
    <w:rsid w:val="00AC7E37"/>
    <w:rsid w:val="00BF1FD3"/>
    <w:rsid w:val="00CA56E5"/>
    <w:rsid w:val="00CE4974"/>
    <w:rsid w:val="00D1063F"/>
    <w:rsid w:val="00D7489C"/>
    <w:rsid w:val="00D908C6"/>
    <w:rsid w:val="00D95BE1"/>
    <w:rsid w:val="00D9646E"/>
    <w:rsid w:val="00DC3A2D"/>
    <w:rsid w:val="00DC3D6E"/>
    <w:rsid w:val="00DD6117"/>
    <w:rsid w:val="00E554C1"/>
    <w:rsid w:val="00EA7DCE"/>
    <w:rsid w:val="00EB3C19"/>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49F23"/>
  <w15:docId w15:val="{1CC78C36-8018-4470-AC74-377ED02A0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F"/>
        <w:szCs w:val="22"/>
        <w:lang w:val="de-DE" w:eastAsia="en-US"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pPr>
      <w:spacing w:before="280" w:after="280" w:line="247" w:lineRule="auto"/>
      <w:textAlignment w:val="baseline"/>
    </w:pPr>
    <w:rPr>
      <w:color w:val="00000A"/>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basedOn w:val="Absatz-Standardschriftart"/>
    <w:qFormat/>
  </w:style>
  <w:style w:type="character" w:customStyle="1" w:styleId="FuzeileZchn">
    <w:name w:val="Fußzeile Zchn"/>
    <w:basedOn w:val="Absatz-Standardschriftart"/>
    <w:qFormat/>
  </w:style>
  <w:style w:type="character" w:customStyle="1" w:styleId="Hyperlink1">
    <w:name w:val="Hyperlink1"/>
    <w:qFormat/>
    <w:rPr>
      <w:color w:val="0000FC"/>
      <w:sz w:val="22"/>
      <w:u w:val="single"/>
    </w:rPr>
  </w:style>
  <w:style w:type="character" w:styleId="Kommentarzeichen">
    <w:name w:val="annotation reference"/>
    <w:basedOn w:val="Absatz-Standardschriftart"/>
    <w:qFormat/>
    <w:rPr>
      <w:sz w:val="16"/>
      <w:szCs w:val="16"/>
    </w:rPr>
  </w:style>
  <w:style w:type="character" w:customStyle="1" w:styleId="KommentartextZchn">
    <w:name w:val="Kommentartext Zchn"/>
    <w:basedOn w:val="Absatz-Standardschriftart"/>
    <w:uiPriority w:val="99"/>
    <w:qFormat/>
    <w:rPr>
      <w:sz w:val="20"/>
      <w:szCs w:val="20"/>
    </w:rPr>
  </w:style>
  <w:style w:type="character" w:customStyle="1" w:styleId="KommentarthemaZchn">
    <w:name w:val="Kommentarthema Zchn"/>
    <w:basedOn w:val="KommentartextZchn"/>
    <w:qFormat/>
    <w:rPr>
      <w:b/>
      <w:bCs/>
      <w:sz w:val="20"/>
      <w:szCs w:val="20"/>
    </w:rPr>
  </w:style>
  <w:style w:type="character" w:customStyle="1" w:styleId="SprechblasentextZchn">
    <w:name w:val="Sprechblasentext Zchn"/>
    <w:basedOn w:val="Absatz-Standardschriftart"/>
    <w:qFormat/>
    <w:rPr>
      <w:rFonts w:ascii="Segoe UI" w:eastAsia="Segoe UI" w:hAnsi="Segoe UI" w:cs="Segoe UI"/>
      <w:sz w:val="18"/>
      <w:szCs w:val="18"/>
    </w:rPr>
  </w:style>
  <w:style w:type="character" w:customStyle="1" w:styleId="NichtaufgelsteErwhnung1">
    <w:name w:val="Nicht aufgelöste Erwähnung1"/>
    <w:basedOn w:val="Absatz-Standardschriftart"/>
    <w:qFormat/>
    <w:rPr>
      <w:color w:val="605E5C"/>
      <w:shd w:val="clear" w:color="auto" w:fill="E1DFDD"/>
    </w:rPr>
  </w:style>
  <w:style w:type="character" w:customStyle="1" w:styleId="FunotentextZchn">
    <w:name w:val="Fußnotentext Zchn"/>
    <w:basedOn w:val="Absatz-Standardschriftart"/>
    <w:qFormat/>
    <w:rPr>
      <w:color w:val="00000A"/>
      <w:szCs w:val="20"/>
    </w:rPr>
  </w:style>
  <w:style w:type="character" w:customStyle="1" w:styleId="Funotenzeichen1">
    <w:name w:val="Fußnotenzeichen1"/>
    <w:qFormat/>
    <w:rPr>
      <w:vertAlign w:val="superscript"/>
    </w:rPr>
  </w:style>
  <w:style w:type="character" w:customStyle="1" w:styleId="Funotenzeichen2">
    <w:name w:val="Fußnotenzeichen2"/>
    <w:qFormat/>
    <w:rPr>
      <w:vertAlign w:val="superscript"/>
    </w:rPr>
  </w:style>
  <w:style w:type="character" w:customStyle="1" w:styleId="FootnoteCharacters">
    <w:name w:val="Footnote Characters"/>
    <w:basedOn w:val="Absatz-Standardschriftart"/>
    <w:qFormat/>
    <w:rPr>
      <w:vertAlign w:val="superscript"/>
    </w:rPr>
  </w:style>
  <w:style w:type="character" w:customStyle="1" w:styleId="Hyperlink2">
    <w:name w:val="Hyperlink2"/>
    <w:basedOn w:val="Absatz-Standardschriftart"/>
    <w:qFormat/>
    <w:rPr>
      <w:color w:val="0563C1"/>
      <w:u w:val="single"/>
    </w:rPr>
  </w:style>
  <w:style w:type="character" w:styleId="NichtaufgelsteErwhnung">
    <w:name w:val="Unresolved Mention"/>
    <w:basedOn w:val="Absatz-Standardschriftart"/>
    <w:qFormat/>
    <w:rPr>
      <w:color w:val="605E5C"/>
      <w:shd w:val="clear" w:color="auto" w:fill="E1DFDD"/>
    </w:rPr>
  </w:style>
  <w:style w:type="character" w:customStyle="1" w:styleId="VisitedInternetLink">
    <w:name w:val="Visited Internet Link"/>
    <w:basedOn w:val="Absatz-Standardschriftart"/>
    <w:qFormat/>
    <w:rPr>
      <w:color w:val="954F72"/>
      <w:u w:val="single"/>
    </w:rPr>
  </w:style>
  <w:style w:type="character" w:customStyle="1" w:styleId="InternetLink">
    <w:name w:val="Internet Link"/>
    <w:basedOn w:val="Absatz-Standardschriftart"/>
    <w:uiPriority w:val="99"/>
    <w:unhideWhenUsed/>
    <w:qFormat/>
    <w:rsid w:val="0026749E"/>
    <w:rPr>
      <w:color w:val="0563C1" w:themeColor="hyperlink"/>
      <w:u w:val="single"/>
    </w:rPr>
  </w:style>
  <w:style w:type="character" w:styleId="BesuchterLink">
    <w:name w:val="FollowedHyperlink"/>
    <w:basedOn w:val="Absatz-Standardschriftart"/>
    <w:uiPriority w:val="99"/>
    <w:semiHidden/>
    <w:unhideWhenUsed/>
    <w:rsid w:val="00A003DF"/>
    <w:rPr>
      <w:color w:val="954F72" w:themeColor="followedHyperlink"/>
      <w:u w:val="single"/>
    </w:rPr>
  </w:style>
  <w:style w:type="character" w:styleId="Hyperlink">
    <w:name w:val="Hyperlink"/>
    <w:basedOn w:val="Absatz-Standardschriftart"/>
    <w:uiPriority w:val="99"/>
    <w:unhideWhenUsed/>
    <w:rsid w:val="00847668"/>
    <w:rPr>
      <w:color w:val="0563C1" w:themeColor="hyperlink"/>
      <w:u w:val="single"/>
    </w:rPr>
  </w:style>
  <w:style w:type="paragraph" w:customStyle="1" w:styleId="berschrift">
    <w:name w:val="Überschrift"/>
    <w:basedOn w:val="Standard"/>
    <w:next w:val="Textkrper"/>
    <w:qFormat/>
    <w:pPr>
      <w:keepNext/>
      <w:spacing w:before="240" w:after="120"/>
    </w:pPr>
    <w:rPr>
      <w:rFonts w:ascii="Liberation Sans" w:eastAsia="Microsoft YaHei" w:hAnsi="Liberation Sans" w:cs="Arial"/>
      <w:sz w:val="28"/>
      <w:szCs w:val="28"/>
    </w:rPr>
  </w:style>
  <w:style w:type="paragraph" w:styleId="Textkrper">
    <w:name w:val="Body Text"/>
    <w:basedOn w:val="Standard"/>
    <w:pPr>
      <w:spacing w:before="0" w:after="140" w:line="276" w:lineRule="auto"/>
    </w:pPr>
  </w:style>
  <w:style w:type="paragraph" w:styleId="Liste">
    <w:name w:val="List"/>
    <w:basedOn w:val="Textbody"/>
    <w:rPr>
      <w:rFonts w:cs="Arial"/>
    </w:rPr>
  </w:style>
  <w:style w:type="paragraph" w:styleId="Beschriftung">
    <w:name w:val="caption"/>
    <w:basedOn w:val="Standard"/>
    <w:qFormat/>
    <w:pPr>
      <w:suppressLineNumbers/>
      <w:spacing w:before="120" w:after="120"/>
    </w:pPr>
    <w:rPr>
      <w:rFonts w:cs="Arial"/>
      <w:i/>
      <w:iCs/>
      <w:sz w:val="24"/>
      <w:szCs w:val="24"/>
    </w:rPr>
  </w:style>
  <w:style w:type="paragraph" w:customStyle="1" w:styleId="Verzeichnis">
    <w:name w:val="Verzeichnis"/>
    <w:basedOn w:val="Standard"/>
    <w:qFormat/>
    <w:pPr>
      <w:suppressLineNumbers/>
    </w:pPr>
    <w:rPr>
      <w:rFonts w:cs="Arial"/>
    </w:rPr>
  </w:style>
  <w:style w:type="paragraph" w:customStyle="1" w:styleId="berschriftuser">
    <w:name w:val="Überschrift (user)"/>
    <w:basedOn w:val="Standard"/>
    <w:next w:val="Textbody"/>
    <w:qFormat/>
    <w:pPr>
      <w:keepNext/>
      <w:spacing w:before="240" w:after="120"/>
    </w:pPr>
    <w:rPr>
      <w:rFonts w:ascii="Liberation Sans" w:eastAsia="Microsoft YaHei" w:hAnsi="Liberation Sans" w:cs="Arial"/>
      <w:sz w:val="28"/>
      <w:szCs w:val="28"/>
    </w:rPr>
  </w:style>
  <w:style w:type="paragraph" w:customStyle="1" w:styleId="Verzeichnisuser">
    <w:name w:val="Verzeichnis (user)"/>
    <w:basedOn w:val="Standard"/>
    <w:qFormat/>
    <w:pPr>
      <w:suppressLineNumbers/>
    </w:pPr>
    <w:rPr>
      <w:rFonts w:cs="Arial"/>
    </w:rPr>
  </w:style>
  <w:style w:type="paragraph" w:customStyle="1" w:styleId="Textbody">
    <w:name w:val="Text body"/>
    <w:basedOn w:val="Standard"/>
    <w:qFormat/>
    <w:pPr>
      <w:spacing w:after="140" w:line="288" w:lineRule="auto"/>
    </w:pPr>
  </w:style>
  <w:style w:type="paragraph" w:styleId="Listenabsatz">
    <w:name w:val="List Paragraph"/>
    <w:basedOn w:val="Standard"/>
    <w:qFormat/>
    <w:pPr>
      <w:ind w:left="720"/>
    </w:pPr>
  </w:style>
  <w:style w:type="paragraph" w:customStyle="1" w:styleId="Kopf-undFuzeile">
    <w:name w:val="Kopf- und Fußzeile"/>
    <w:basedOn w:val="Standard"/>
    <w:qFormat/>
  </w:style>
  <w:style w:type="paragraph" w:customStyle="1" w:styleId="Kopf-Fuzeileuser">
    <w:name w:val="Kopf-/Fußzeile (user)"/>
    <w:basedOn w:val="Standard"/>
    <w:qFormat/>
  </w:style>
  <w:style w:type="paragraph" w:customStyle="1" w:styleId="Kopf-Fuzeile">
    <w:name w:val="Kopf-/Fußzeile"/>
    <w:basedOn w:val="Standard"/>
    <w:qFormat/>
  </w:style>
  <w:style w:type="paragraph" w:styleId="Kopfzeile">
    <w:name w:val="header"/>
    <w:basedOn w:val="Standard"/>
    <w:pPr>
      <w:tabs>
        <w:tab w:val="center" w:pos="4536"/>
        <w:tab w:val="right" w:pos="9072"/>
      </w:tabs>
      <w:spacing w:line="240" w:lineRule="auto"/>
    </w:pPr>
  </w:style>
  <w:style w:type="paragraph" w:styleId="Fuzeile">
    <w:name w:val="footer"/>
    <w:basedOn w:val="Standard"/>
    <w:pPr>
      <w:tabs>
        <w:tab w:val="center" w:pos="4536"/>
        <w:tab w:val="right" w:pos="9072"/>
      </w:tabs>
      <w:spacing w:line="240" w:lineRule="auto"/>
    </w:pPr>
  </w:style>
  <w:style w:type="paragraph" w:styleId="Kommentartext">
    <w:name w:val="annotation text"/>
    <w:basedOn w:val="Standard"/>
    <w:uiPriority w:val="99"/>
    <w:qFormat/>
    <w:pPr>
      <w:spacing w:line="240" w:lineRule="auto"/>
    </w:pPr>
    <w:rPr>
      <w:sz w:val="20"/>
      <w:szCs w:val="20"/>
    </w:rPr>
  </w:style>
  <w:style w:type="paragraph" w:styleId="Kommentarthema">
    <w:name w:val="annotation subject"/>
    <w:basedOn w:val="Kommentartext"/>
    <w:qFormat/>
    <w:rPr>
      <w:b/>
      <w:bCs/>
    </w:rPr>
  </w:style>
  <w:style w:type="paragraph" w:styleId="Sprechblasentext">
    <w:name w:val="Balloon Text"/>
    <w:basedOn w:val="Standard"/>
    <w:qFormat/>
    <w:pPr>
      <w:spacing w:line="240" w:lineRule="auto"/>
    </w:pPr>
    <w:rPr>
      <w:rFonts w:ascii="Segoe UI" w:eastAsia="Segoe UI" w:hAnsi="Segoe UI" w:cs="Segoe UI"/>
      <w:sz w:val="18"/>
      <w:szCs w:val="18"/>
    </w:rPr>
  </w:style>
  <w:style w:type="paragraph" w:styleId="berarbeitung">
    <w:name w:val="Revision"/>
    <w:qFormat/>
    <w:pPr>
      <w:textAlignment w:val="baseline"/>
    </w:pPr>
    <w:rPr>
      <w:color w:val="00000A"/>
      <w:sz w:val="22"/>
    </w:rPr>
  </w:style>
  <w:style w:type="paragraph" w:customStyle="1" w:styleId="Footnote">
    <w:name w:val="Footnote"/>
    <w:basedOn w:val="Standard"/>
    <w:qFormat/>
    <w:pPr>
      <w:spacing w:line="240" w:lineRule="auto"/>
    </w:pPr>
    <w:rPr>
      <w:sz w:val="20"/>
      <w:szCs w:val="20"/>
    </w:rPr>
  </w:style>
  <w:style w:type="paragraph" w:styleId="KeinLeerraum">
    <w:name w:val="No Spacing"/>
    <w:qFormat/>
    <w:pPr>
      <w:textAlignment w:val="baseline"/>
    </w:pPr>
    <w:rPr>
      <w:rFonts w:cs="Times New Roman"/>
      <w:sz w:val="22"/>
    </w:rPr>
  </w:style>
  <w:style w:type="paragraph" w:customStyle="1" w:styleId="Text">
    <w:name w:val="Text"/>
    <w:qFormat/>
    <w:rsid w:val="00816194"/>
    <w:pPr>
      <w:suppressAutoHyphens w:val="0"/>
    </w:pPr>
    <w:rPr>
      <w:rFonts w:ascii="Helvetica Neue" w:eastAsia="Arial Unicode MS" w:hAnsi="Helvetica Neue" w:cs="Arial Unicode MS"/>
      <w:color w:val="000000"/>
      <w:sz w:val="22"/>
      <w:lang w:eastAsia="de-DE"/>
      <w14:textOutline w14:w="0" w14:cap="flat" w14:cmpd="sng" w14:algn="ctr">
        <w14:noFill/>
        <w14:prstDash w14:val="solid"/>
        <w14:bevel/>
      </w14:textOutline>
    </w:rPr>
  </w:style>
  <w:style w:type="paragraph" w:customStyle="1" w:styleId="Kommentaruser">
    <w:name w:val="Kommentar (user)"/>
    <w:basedOn w:val="Standard"/>
    <w:qFormat/>
    <w:rPr>
      <w:sz w:val="20"/>
      <w:szCs w:val="20"/>
    </w:rPr>
  </w:style>
  <w:style w:type="paragraph" w:customStyle="1" w:styleId="Kommentar">
    <w:name w:val="Kommentar"/>
    <w:basedOn w:val="Standard"/>
    <w:qFormat/>
    <w:pPr>
      <w:spacing w:before="56" w:after="0" w:line="240" w:lineRule="auto"/>
      <w:ind w:left="57" w:right="57"/>
    </w:pPr>
    <w:rPr>
      <w:color w:val="auto"/>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presse@apothekerkammer-nds.d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info@azetpr.com"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apothekerkammer-niedersachsen.de/" TargetMode="External"/><Relationship Id="rId5" Type="http://schemas.openxmlformats.org/officeDocument/2006/relationships/styles" Target="styles.xml"/><Relationship Id="rId15" Type="http://schemas.openxmlformats.org/officeDocument/2006/relationships/header" Target="header1.xml"/><Relationship Id="rId23" Type="http://schemas.microsoft.com/office/2018/08/relationships/commentsExtensible" Target="commentsExtensible.xml"/><Relationship Id="rId10" Type="http://schemas.openxmlformats.org/officeDocument/2006/relationships/hyperlink" Target="https://www.apothekerkammer-niedersachsen.de/userfiles/file/Presse/2609_PI_Schmerzmittel.pdf" TargetMode="Externa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www.facebook.com/apokammer.nd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46006ad2-eb4e-4de6-bd3b-8b8a0035cd4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3BF6A339A92F942AF20FC201346EF2B" ma:contentTypeVersion="11" ma:contentTypeDescription="Create a new document." ma:contentTypeScope="" ma:versionID="5cc8d90a46aed49f8df258c73a7aac16">
  <xsd:schema xmlns:xsd="http://www.w3.org/2001/XMLSchema" xmlns:xs="http://www.w3.org/2001/XMLSchema" xmlns:p="http://schemas.microsoft.com/office/2006/metadata/properties" xmlns:ns3="46006ad2-eb4e-4de6-bd3b-8b8a0035cd4c" targetNamespace="http://schemas.microsoft.com/office/2006/metadata/properties" ma:root="true" ma:fieldsID="7d4f791a0f44f74d70414a33347c19f4" ns3:_="">
    <xsd:import namespace="46006ad2-eb4e-4de6-bd3b-8b8a0035cd4c"/>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6ad2-eb4e-4de6-bd3b-8b8a0035cd4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BillingMetadata" ma:index="1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88DE82-F477-4CDB-8EB9-62676A791B58}">
  <ds:schemaRefs>
    <ds:schemaRef ds:uri="http://schemas.microsoft.com/sharepoint/v3/contenttype/forms"/>
  </ds:schemaRefs>
</ds:datastoreItem>
</file>

<file path=customXml/itemProps2.xml><?xml version="1.0" encoding="utf-8"?>
<ds:datastoreItem xmlns:ds="http://schemas.openxmlformats.org/officeDocument/2006/customXml" ds:itemID="{D186BCF7-63DF-477A-9B6F-8AA029F09BED}">
  <ds:schemaRefs>
    <ds:schemaRef ds:uri="http://schemas.microsoft.com/office/2006/metadata/properties"/>
    <ds:schemaRef ds:uri="http://schemas.microsoft.com/office/infopath/2007/PartnerControls"/>
    <ds:schemaRef ds:uri="46006ad2-eb4e-4de6-bd3b-8b8a0035cd4c"/>
  </ds:schemaRefs>
</ds:datastoreItem>
</file>

<file path=customXml/itemProps3.xml><?xml version="1.0" encoding="utf-8"?>
<ds:datastoreItem xmlns:ds="http://schemas.openxmlformats.org/officeDocument/2006/customXml" ds:itemID="{3AA50A13-C03B-4A00-914C-F26F0AB6C0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6ad2-eb4e-4de6-bd3b-8b8a0035cd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C7E2D2B-B5C7-4679-AFA4-66CEBCCF28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958</Words>
  <Characters>6036</Characters>
  <Application>Microsoft Office Word</Application>
  <DocSecurity>0</DocSecurity>
  <Lines>50</Lines>
  <Paragraphs>13</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6981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Spengler, Thomas</dc:creator>
  <dc:description/>
  <cp:lastModifiedBy>Spengler, Thomas</cp:lastModifiedBy>
  <cp:revision>6</cp:revision>
  <cp:lastPrinted>2023-09-15T08:54:00Z</cp:lastPrinted>
  <dcterms:created xsi:type="dcterms:W3CDTF">2026-09-09T12:29:00Z</dcterms:created>
  <dcterms:modified xsi:type="dcterms:W3CDTF">2026-09-09T12:46:00Z</dcterms:modified>
  <dc:language>de-DE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y fmtid="{D5CDD505-2E9C-101B-9397-08002B2CF9AE}" pid="3" name="ContentTypeId">
    <vt:lpwstr>0x01010013BF6A339A92F942AF20FC201346EF2B</vt:lpwstr>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