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2F07" w14:textId="77777777" w:rsidR="0099297B" w:rsidRDefault="003D1717">
      <w:pPr>
        <w:spacing w:before="100" w:after="100"/>
      </w:pPr>
      <w:r>
        <w:rPr>
          <w:b/>
          <w:color w:val="808080"/>
          <w:sz w:val="72"/>
          <w:szCs w:val="72"/>
          <w:lang w:eastAsia="ar-SA"/>
        </w:rPr>
        <w:t>Stellungnahme</w:t>
      </w:r>
    </w:p>
    <w:p w14:paraId="6DA0ECCB" w14:textId="692196FE" w:rsidR="0099297B" w:rsidRDefault="005515F4">
      <w:pPr>
        <w:rPr>
          <w:rFonts w:asciiTheme="minorHAnsi" w:hAnsiTheme="minorHAnsi" w:cstheme="minorHAnsi"/>
          <w:sz w:val="28"/>
        </w:rPr>
      </w:pPr>
      <w:r w:rsidRPr="005515F4">
        <w:rPr>
          <w:rFonts w:ascii="Arial" w:hAnsi="Arial" w:cs="Arial"/>
          <w:b/>
        </w:rPr>
        <w:t>GKV-Beitragssatzstabilisierungsgesetz</w:t>
      </w:r>
      <w:r w:rsidR="00A002E7">
        <w:rPr>
          <w:rFonts w:ascii="Arial" w:hAnsi="Arial" w:cs="Arial"/>
          <w:b/>
        </w:rPr>
        <w:br/>
      </w:r>
      <w:r w:rsidR="00382A30" w:rsidRPr="00382A30">
        <w:rPr>
          <w:rFonts w:cstheme="minorHAnsi"/>
          <w:b/>
          <w:sz w:val="36"/>
          <w:szCs w:val="28"/>
          <w:lang w:eastAsia="ar-SA"/>
        </w:rPr>
        <w:t>Kassenabschlag: Geplante Erhöhung konterkariert notwendige Stärkung der Vor-Ort-Apotheken</w:t>
      </w:r>
    </w:p>
    <w:p w14:paraId="4E84139C" w14:textId="767C7E75" w:rsidR="005515F4" w:rsidRDefault="00EB3F73" w:rsidP="005515F4">
      <w:pPr>
        <w:spacing w:after="0" w:line="240" w:lineRule="auto"/>
        <w:jc w:val="both"/>
        <w:rPr>
          <w:rFonts w:ascii="Arial" w:hAnsi="Arial" w:cs="Arial"/>
          <w:lang w:eastAsia="ar-SA"/>
        </w:rPr>
      </w:pPr>
      <w:r w:rsidRPr="002F551F">
        <w:rPr>
          <w:rFonts w:ascii="Arial" w:hAnsi="Arial" w:cs="Arial"/>
          <w:b/>
          <w:bCs/>
          <w:lang w:eastAsia="ar-SA"/>
        </w:rPr>
        <w:t xml:space="preserve">Hannover, </w:t>
      </w:r>
      <w:r w:rsidR="002F551F" w:rsidRPr="002F551F">
        <w:rPr>
          <w:rFonts w:ascii="Arial" w:hAnsi="Arial" w:cs="Arial"/>
          <w:b/>
          <w:bCs/>
          <w:lang w:eastAsia="ar-SA"/>
        </w:rPr>
        <w:t>17</w:t>
      </w:r>
      <w:r w:rsidRPr="002F551F">
        <w:rPr>
          <w:rFonts w:ascii="Arial" w:hAnsi="Arial" w:cs="Arial"/>
          <w:b/>
          <w:bCs/>
          <w:lang w:eastAsia="ar-SA"/>
        </w:rPr>
        <w:t>.0</w:t>
      </w:r>
      <w:r w:rsidR="005515F4" w:rsidRPr="002F551F">
        <w:rPr>
          <w:rFonts w:ascii="Arial" w:hAnsi="Arial" w:cs="Arial"/>
          <w:b/>
          <w:bCs/>
          <w:lang w:eastAsia="ar-SA"/>
        </w:rPr>
        <w:t>4</w:t>
      </w:r>
      <w:r w:rsidRPr="002F551F">
        <w:rPr>
          <w:rFonts w:ascii="Arial" w:hAnsi="Arial" w:cs="Arial"/>
          <w:b/>
          <w:bCs/>
          <w:lang w:eastAsia="ar-SA"/>
        </w:rPr>
        <w:t>.2026</w:t>
      </w:r>
    </w:p>
    <w:p w14:paraId="38638C78" w14:textId="77777777" w:rsidR="005515F4" w:rsidRPr="005515F4" w:rsidRDefault="005515F4" w:rsidP="005515F4">
      <w:pPr>
        <w:spacing w:after="0" w:line="240" w:lineRule="auto"/>
        <w:jc w:val="both"/>
        <w:rPr>
          <w:rFonts w:ascii="Arial" w:hAnsi="Arial" w:cs="Arial"/>
          <w:lang w:eastAsia="ar-SA"/>
        </w:rPr>
      </w:pPr>
      <w:r w:rsidRPr="005515F4">
        <w:rPr>
          <w:rFonts w:ascii="Arial" w:hAnsi="Arial" w:cs="Arial"/>
          <w:lang w:eastAsia="ar-SA"/>
        </w:rPr>
        <w:t>Cathrin Burs, Präsidentin der Apothekerkammer Niedersachsen, erklärt:</w:t>
      </w:r>
    </w:p>
    <w:p w14:paraId="281F7250" w14:textId="210C4604" w:rsidR="005515F4" w:rsidRDefault="005515F4" w:rsidP="005515F4">
      <w:pPr>
        <w:spacing w:after="0" w:line="240" w:lineRule="auto"/>
        <w:jc w:val="both"/>
        <w:rPr>
          <w:rFonts w:ascii="Arial" w:hAnsi="Arial" w:cs="Arial"/>
          <w:lang w:eastAsia="ar-SA"/>
        </w:rPr>
      </w:pPr>
      <w:r w:rsidRPr="005515F4">
        <w:rPr>
          <w:rFonts w:ascii="Arial" w:hAnsi="Arial" w:cs="Arial"/>
          <w:lang w:eastAsia="ar-SA"/>
        </w:rPr>
        <w:t>„Die im Referentenentwurf eines Gesetzes zur Stabilisierung der Beitragssätze in der gesetzlichen Krankenversicherung (GKV-Beitragssatzstabilisierungsgesetz) geplante Erhöhung des Apothekenabschlags von 1,77 Euro auf 2,07 Euro bedeutet für die Apotheken eine weitere Kürzung ihres Honorars. Das würde die wirtschaftliche Situation vieler Betriebe zusätzlich verschärfen.</w:t>
      </w:r>
    </w:p>
    <w:p w14:paraId="66E545D5" w14:textId="6EE6D680" w:rsidR="005515F4" w:rsidRDefault="00484E45" w:rsidP="005515F4">
      <w:pPr>
        <w:spacing w:after="0" w:line="240" w:lineRule="auto"/>
        <w:jc w:val="both"/>
        <w:rPr>
          <w:rFonts w:ascii="Arial" w:hAnsi="Arial" w:cs="Arial"/>
          <w:lang w:eastAsia="ar-SA"/>
        </w:rPr>
      </w:pPr>
      <w:r>
        <w:rPr>
          <w:rFonts w:ascii="Arial" w:hAnsi="Arial" w:cs="Arial"/>
          <w:lang w:eastAsia="ar-SA"/>
        </w:rPr>
        <w:t>V</w:t>
      </w:r>
      <w:r w:rsidR="005515F4" w:rsidRPr="005515F4">
        <w:rPr>
          <w:rFonts w:ascii="Arial" w:hAnsi="Arial" w:cs="Arial"/>
          <w:lang w:eastAsia="ar-SA"/>
        </w:rPr>
        <w:t xml:space="preserve">or dem Hintergrund der jüngsten Proteste, mit denen die Apothekerschaft bundesweit auf ihre wirtschaftliche Situation aufmerksam gemacht hat, ist es umso weniger nachvollziehbar, dass mit der geplanten Erhöhung des Apothekenabschlags nun eine zusätzliche Belastung vorgesehen ist. So kann eine wirtschaftliche Stärkung der Apotheken nicht gelingen. Und eine leistungsfähige Gesundheitsversorgung braucht starke Apotheken. Wir fordern die Bundesregierung </w:t>
      </w:r>
      <w:r w:rsidR="00872A9C">
        <w:rPr>
          <w:rFonts w:ascii="Arial" w:hAnsi="Arial" w:cs="Arial"/>
          <w:lang w:eastAsia="ar-SA"/>
        </w:rPr>
        <w:t xml:space="preserve">dringend </w:t>
      </w:r>
      <w:r w:rsidR="005515F4" w:rsidRPr="005515F4">
        <w:rPr>
          <w:rFonts w:ascii="Arial" w:hAnsi="Arial" w:cs="Arial"/>
          <w:lang w:eastAsia="ar-SA"/>
        </w:rPr>
        <w:t>auf, die geplante Maßnahme im weiteren Gesetzgebungsverfahren zu überprüfen und zu streichen.</w:t>
      </w:r>
    </w:p>
    <w:p w14:paraId="603A9BEF" w14:textId="721270EC" w:rsidR="0009613D" w:rsidRDefault="005515F4" w:rsidP="005515F4">
      <w:pPr>
        <w:spacing w:after="0" w:line="240" w:lineRule="auto"/>
        <w:jc w:val="both"/>
        <w:rPr>
          <w:rFonts w:ascii="Arial" w:hAnsi="Arial" w:cs="Arial"/>
          <w:lang w:eastAsia="ar-SA"/>
        </w:rPr>
      </w:pPr>
      <w:r w:rsidRPr="005515F4">
        <w:rPr>
          <w:rFonts w:ascii="Arial" w:hAnsi="Arial" w:cs="Arial"/>
          <w:lang w:eastAsia="ar-SA"/>
        </w:rPr>
        <w:t>Die Apotheken sind verlässliche Partner in der Gesundheitsversorgung und erfüllen</w:t>
      </w:r>
      <w:r w:rsidR="00872A9C">
        <w:rPr>
          <w:rFonts w:ascii="Arial" w:hAnsi="Arial" w:cs="Arial"/>
          <w:lang w:eastAsia="ar-SA"/>
        </w:rPr>
        <w:t xml:space="preserve"> fachlich kompetent und engagiert</w:t>
      </w:r>
      <w:r w:rsidRPr="005515F4">
        <w:rPr>
          <w:rFonts w:ascii="Arial" w:hAnsi="Arial" w:cs="Arial"/>
          <w:lang w:eastAsia="ar-SA"/>
        </w:rPr>
        <w:t xml:space="preserve"> ihren gesetzlichen Auftrag</w:t>
      </w:r>
      <w:r w:rsidR="00E80C7E">
        <w:rPr>
          <w:rFonts w:ascii="Arial" w:hAnsi="Arial" w:cs="Arial"/>
          <w:lang w:eastAsia="ar-SA"/>
        </w:rPr>
        <w:t xml:space="preserve">. </w:t>
      </w:r>
      <w:r w:rsidRPr="005515F4">
        <w:rPr>
          <w:rFonts w:ascii="Arial" w:hAnsi="Arial" w:cs="Arial"/>
          <w:lang w:eastAsia="ar-SA"/>
        </w:rPr>
        <w:t xml:space="preserve">Diese Verlässlichkeit erwarten wir auch von der Politik. </w:t>
      </w:r>
      <w:r w:rsidR="00484E45">
        <w:rPr>
          <w:rFonts w:ascii="Arial" w:hAnsi="Arial" w:cs="Arial"/>
          <w:lang w:eastAsia="ar-SA"/>
        </w:rPr>
        <w:t xml:space="preserve">Wir </w:t>
      </w:r>
      <w:r w:rsidR="00484E45" w:rsidRPr="005515F4">
        <w:rPr>
          <w:rFonts w:ascii="Arial" w:hAnsi="Arial" w:cs="Arial"/>
          <w:lang w:eastAsia="ar-SA"/>
        </w:rPr>
        <w:t>sehen</w:t>
      </w:r>
      <w:r w:rsidRPr="005515F4">
        <w:rPr>
          <w:rFonts w:ascii="Arial" w:hAnsi="Arial" w:cs="Arial"/>
          <w:lang w:eastAsia="ar-SA"/>
        </w:rPr>
        <w:t xml:space="preserve">, dass auf politischer Ebene zuletzt wichtige Signale für eine Verbesserung der wirtschaftlichen Rahmenbedingungen gesetzt wurden. </w:t>
      </w:r>
      <w:r w:rsidR="00872A9C">
        <w:rPr>
          <w:rFonts w:ascii="Arial" w:hAnsi="Arial" w:cs="Arial"/>
          <w:lang w:eastAsia="ar-SA"/>
        </w:rPr>
        <w:t xml:space="preserve">Den Aussagen müssen nun aber auch Taten folgen. Der </w:t>
      </w:r>
      <w:r w:rsidRPr="005515F4">
        <w:rPr>
          <w:rFonts w:ascii="Arial" w:hAnsi="Arial" w:cs="Arial"/>
          <w:lang w:eastAsia="ar-SA"/>
        </w:rPr>
        <w:t xml:space="preserve">Weg </w:t>
      </w:r>
      <w:r w:rsidR="00872A9C">
        <w:rPr>
          <w:rFonts w:ascii="Arial" w:hAnsi="Arial" w:cs="Arial"/>
          <w:lang w:eastAsia="ar-SA"/>
        </w:rPr>
        <w:t xml:space="preserve">der Honorarverbesserung und Kompetenzstärkung muss </w:t>
      </w:r>
      <w:r w:rsidRPr="005515F4">
        <w:rPr>
          <w:rFonts w:ascii="Arial" w:hAnsi="Arial" w:cs="Arial"/>
          <w:lang w:eastAsia="ar-SA"/>
        </w:rPr>
        <w:t xml:space="preserve">konsequent </w:t>
      </w:r>
      <w:r w:rsidR="00872A9C">
        <w:rPr>
          <w:rFonts w:ascii="Arial" w:hAnsi="Arial" w:cs="Arial"/>
          <w:lang w:eastAsia="ar-SA"/>
        </w:rPr>
        <w:t xml:space="preserve">gegangen werden. </w:t>
      </w:r>
      <w:r w:rsidRPr="005515F4">
        <w:rPr>
          <w:rFonts w:ascii="Arial" w:hAnsi="Arial" w:cs="Arial"/>
          <w:lang w:eastAsia="ar-SA"/>
        </w:rPr>
        <w:t xml:space="preserve">Der Kassenabschlag darf in dieser Form nicht kommen und </w:t>
      </w:r>
      <w:r w:rsidR="002F551F">
        <w:rPr>
          <w:rFonts w:ascii="Arial" w:hAnsi="Arial" w:cs="Arial"/>
          <w:lang w:eastAsia="ar-SA"/>
        </w:rPr>
        <w:t>d</w:t>
      </w:r>
      <w:r w:rsidRPr="005515F4">
        <w:rPr>
          <w:rFonts w:ascii="Arial" w:hAnsi="Arial" w:cs="Arial"/>
          <w:lang w:eastAsia="ar-SA"/>
        </w:rPr>
        <w:t>ie zugesagte Erhöhung des Apothekenhonorars muss unverzüglich umgesetzt werden. Sie ist notwendig, um die Apotheken vor Ort zu stärken, die Mitarbeitenden angemessen zu vergüten und eine sichere, qualitativ hochwertige Versorgung der Patientinnen und Patienten dauerhaft zu gewährleisten.“</w:t>
      </w:r>
    </w:p>
    <w:p w14:paraId="5FEE0B2A" w14:textId="5C50F312" w:rsidR="005515F4" w:rsidRPr="007A4744" w:rsidRDefault="005515F4" w:rsidP="005515F4">
      <w:pPr>
        <w:spacing w:after="0" w:line="240" w:lineRule="auto"/>
        <w:jc w:val="both"/>
        <w:rPr>
          <w:rFonts w:ascii="Arial" w:hAnsi="Arial" w:cs="Arial"/>
          <w:lang w:eastAsia="ar-SA"/>
        </w:rPr>
      </w:pPr>
      <w:r w:rsidRPr="005515F4">
        <w:rPr>
          <w:rFonts w:ascii="Arial" w:hAnsi="Arial" w:cs="Arial"/>
          <w:lang w:eastAsia="ar-SA"/>
        </w:rPr>
        <w:t>Seit dem Jahr 2009 schlossen in Niedersachsen 493 Apotheken. Das ist ein Rückgang der Apothekenzahl von mehr als 23 Prozent und der niedrigste Stand seit 47 Jahren (Stand: 31.03.2026).</w:t>
      </w:r>
    </w:p>
    <w:p w14:paraId="4303B124" w14:textId="77777777" w:rsidR="005515F4" w:rsidRPr="00FD7E41" w:rsidRDefault="005515F4" w:rsidP="005515F4">
      <w:pPr>
        <w:rPr>
          <w:rFonts w:ascii="Arial" w:hAnsi="Arial" w:cs="Arial"/>
          <w:i/>
          <w:iCs/>
        </w:rPr>
      </w:pPr>
      <w:r w:rsidRPr="009A2776">
        <w:rPr>
          <w:rFonts w:ascii="Arial" w:hAnsi="Arial" w:cs="Arial"/>
          <w:i/>
          <w:iCs/>
        </w:rPr>
        <w:t>Die Apothekerkammer Niedersachsen vertritt mehr als 8.500 Apothekerinnen und Apotheker. Sie sorgen täglich dafür, dass Patientinnen und Patienten ihre Medikamente sicher anwenden können. Denn: Ohne fachliche</w:t>
      </w:r>
      <w:r w:rsidRPr="00FD7E41">
        <w:rPr>
          <w:rFonts w:ascii="Arial" w:hAnsi="Arial" w:cs="Arial"/>
          <w:i/>
          <w:iCs/>
        </w:rPr>
        <w:t xml:space="preserve"> Prüfung und Einordnung können gerade bei </w:t>
      </w:r>
      <w:r w:rsidRPr="00FD7E41">
        <w:rPr>
          <w:rFonts w:ascii="Arial" w:hAnsi="Arial" w:cs="Arial"/>
          <w:i/>
          <w:iCs/>
        </w:rPr>
        <w:lastRenderedPageBreak/>
        <w:t>mehreren Arzneimitteln, bei Selbstmedikation oder chronischen Erkrankungen vermeidbare Risiken entstehen.</w:t>
      </w:r>
    </w:p>
    <w:p w14:paraId="7FAF7E20" w14:textId="77777777" w:rsidR="005515F4" w:rsidRPr="00FD7E41" w:rsidRDefault="005515F4" w:rsidP="005515F4">
      <w:pPr>
        <w:rPr>
          <w:rFonts w:ascii="Arial" w:hAnsi="Arial" w:cs="Arial"/>
          <w:i/>
          <w:iCs/>
        </w:rPr>
      </w:pPr>
      <w:r w:rsidRPr="00FD7E41">
        <w:rPr>
          <w:rFonts w:ascii="Arial" w:hAnsi="Arial" w:cs="Arial"/>
          <w:i/>
          <w:iCs/>
        </w:rPr>
        <w:t>Apothekerinnen und Apotheker sind unabhängige Heilberufler mit universitärer Ausbildung und staatlicher Zulassung. Sie behalten den Überblick über alle Medikamente, erkennen mögliche Wechselwirkungen und erklären verständlich, worauf im Alltag zu achten ist. So tragen sie entscheidend dazu bei, dass Arzneimitteltherapien sicher und wirksam bleiben.</w:t>
      </w:r>
    </w:p>
    <w:p w14:paraId="09C0178A" w14:textId="0A869FD8" w:rsidR="0099297B" w:rsidRDefault="005515F4" w:rsidP="005515F4">
      <w:pPr>
        <w:spacing w:line="264" w:lineRule="auto"/>
        <w:jc w:val="both"/>
      </w:pPr>
      <w:r w:rsidRPr="00FD7E41">
        <w:rPr>
          <w:rFonts w:ascii="Arial" w:hAnsi="Arial" w:cs="Arial"/>
          <w:i/>
          <w:iCs/>
        </w:rPr>
        <w:t xml:space="preserve">Die Apotheke ist die zentrale Anlaufstelle für alle Fragen rund um Medikamente. Hier wird zusammengeführt, was Patientinnen und Patienten von verschiedenen Ärztinnen und Ärzten oder </w:t>
      </w:r>
      <w:r w:rsidRPr="009A2776">
        <w:rPr>
          <w:rFonts w:ascii="Arial" w:hAnsi="Arial" w:cs="Arial"/>
          <w:i/>
          <w:iCs/>
        </w:rPr>
        <w:t>aus der Selbstmedikation erhalten. Risiken werden frühzeitig erkannt und verständlich erklärt – damit pharmazeutische Behandlungen im Alltag sicher umgesetzt werden können.</w:t>
      </w:r>
    </w:p>
    <w:p w14:paraId="2953AC0D" w14:textId="38F89111" w:rsidR="0099297B" w:rsidRDefault="00C264D9">
      <w:pPr>
        <w:jc w:val="both"/>
      </w:pPr>
      <w:r w:rsidRPr="003F6104">
        <w:rPr>
          <w:rFonts w:ascii="Arial" w:hAnsi="Arial" w:cs="Arial"/>
        </w:rPr>
        <w:t xml:space="preserve">Zeichen </w:t>
      </w:r>
      <w:r w:rsidR="00B9037E">
        <w:rPr>
          <w:rFonts w:ascii="Arial" w:hAnsi="Arial" w:cs="Arial"/>
        </w:rPr>
        <w:t>3</w:t>
      </w:r>
      <w:r w:rsidR="00FE2D32">
        <w:rPr>
          <w:rFonts w:ascii="Arial" w:hAnsi="Arial" w:cs="Arial"/>
        </w:rPr>
        <w:t>.</w:t>
      </w:r>
      <w:r w:rsidR="00B9037E">
        <w:rPr>
          <w:rFonts w:ascii="Arial" w:hAnsi="Arial" w:cs="Arial"/>
        </w:rPr>
        <w:t>206</w:t>
      </w:r>
      <w:bookmarkStart w:id="0" w:name="_GoBack"/>
      <w:bookmarkEnd w:id="0"/>
      <w:r w:rsidR="00FE2D32">
        <w:rPr>
          <w:rFonts w:ascii="Arial" w:hAnsi="Arial" w:cs="Arial"/>
        </w:rPr>
        <w:t xml:space="preserve"> </w:t>
      </w:r>
      <w:r w:rsidRPr="003F6104">
        <w:rPr>
          <w:rFonts w:ascii="Arial" w:hAnsi="Arial" w:cs="Arial"/>
        </w:rPr>
        <w:t>inkl</w:t>
      </w:r>
      <w:r>
        <w:rPr>
          <w:rFonts w:ascii="Arial" w:hAnsi="Arial" w:cs="Arial"/>
        </w:rPr>
        <w:t>. Leerzeichen</w:t>
      </w:r>
    </w:p>
    <w:p w14:paraId="09FC3AEE" w14:textId="77777777" w:rsidR="009C0DF6" w:rsidRPr="009C0DF6" w:rsidRDefault="00C264D9">
      <w:pPr>
        <w:jc w:val="both"/>
        <w:rPr>
          <w:rFonts w:ascii="Arial" w:hAnsi="Arial" w:cs="Arial"/>
        </w:rPr>
      </w:pPr>
      <w:r>
        <w:rPr>
          <w:rFonts w:ascii="Arial" w:hAnsi="Arial" w:cs="Arial"/>
        </w:rPr>
        <w:t xml:space="preserve">Diese </w:t>
      </w:r>
      <w:r w:rsidR="003D1717">
        <w:rPr>
          <w:rFonts w:ascii="Arial" w:hAnsi="Arial" w:cs="Arial"/>
        </w:rPr>
        <w:t>Stellungnahme</w:t>
      </w:r>
      <w:r>
        <w:rPr>
          <w:rFonts w:ascii="Arial" w:hAnsi="Arial" w:cs="Arial"/>
        </w:rPr>
        <w:t xml:space="preserve"> finden Sie auch unter </w:t>
      </w:r>
      <w:hyperlink r:id="rId7">
        <w:r w:rsidR="009C0DF6">
          <w:rPr>
            <w:rStyle w:val="Internetlink"/>
            <w:rFonts w:ascii="Arial" w:hAnsi="Arial" w:cs="Arial"/>
          </w:rPr>
          <w:t>www.apothekerkammer-niedersachsen.de</w:t>
        </w:r>
      </w:hyperlink>
      <w:r w:rsidR="009C0DF6" w:rsidRPr="009C0DF6">
        <w:rPr>
          <w:rFonts w:ascii="Arial" w:hAnsi="Arial" w:cs="Arial"/>
        </w:rPr>
        <w:t>.</w:t>
      </w:r>
    </w:p>
    <w:p w14:paraId="2C6D6586" w14:textId="7FAFD310" w:rsidR="0099297B" w:rsidRDefault="00C264D9">
      <w:bookmarkStart w:id="1" w:name="_Hlk164346212"/>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Andrea Zaszczynski</w:t>
      </w:r>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8">
        <w:r>
          <w:rPr>
            <w:rStyle w:val="Internetlink"/>
            <w:rFonts w:ascii="Arial" w:hAnsi="Arial" w:cs="Arial"/>
          </w:rPr>
          <w:t>info@azetpr.com</w:t>
        </w:r>
      </w:hyperlink>
    </w:p>
    <w:bookmarkEnd w:id="1"/>
    <w:p w14:paraId="7BDC8DD5" w14:textId="6C87FA45" w:rsidR="0099297B" w:rsidRDefault="00C264D9">
      <w:r>
        <w:rPr>
          <w:rFonts w:ascii="Arial" w:hAnsi="Arial" w:cs="Arial"/>
          <w:b/>
          <w:lang w:eastAsia="de-DE"/>
        </w:rPr>
        <w:t>Apothekerkammer Niedersachsen</w:t>
      </w:r>
      <w:r>
        <w:rPr>
          <w:rFonts w:ascii="Arial" w:hAnsi="Arial" w:cs="Arial"/>
          <w:b/>
          <w:lang w:eastAsia="de-DE"/>
        </w:rPr>
        <w:br/>
      </w:r>
      <w:r>
        <w:rPr>
          <w:rFonts w:ascii="Arial" w:hAnsi="Arial" w:cs="Arial"/>
        </w:rPr>
        <w:t>Panagiota Fyssa</w:t>
      </w:r>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9">
        <w:r>
          <w:rPr>
            <w:rStyle w:val="Internetlink"/>
            <w:rFonts w:ascii="Arial" w:hAnsi="Arial" w:cs="Arial"/>
          </w:rPr>
          <w:t>presse@apothekerkammer-nds.de</w:t>
        </w:r>
      </w:hyperlink>
      <w:r>
        <w:rPr>
          <w:rFonts w:ascii="Arial" w:hAnsi="Arial" w:cs="Arial"/>
        </w:rPr>
        <w:br/>
      </w:r>
      <w:hyperlink r:id="rId10">
        <w:r>
          <w:rPr>
            <w:rStyle w:val="Internetlink"/>
            <w:rFonts w:ascii="Arial" w:hAnsi="Arial" w:cs="Arial"/>
          </w:rPr>
          <w:t>www.facebook.com/apokammer.nds</w:t>
        </w:r>
      </w:hyperlink>
    </w:p>
    <w:sectPr w:rsidR="0099297B">
      <w:headerReference w:type="default" r:id="rId11"/>
      <w:pgSz w:w="11906" w:h="16838"/>
      <w:pgMar w:top="1417" w:right="1417" w:bottom="1134" w:left="1417"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DAE2E" w14:textId="77777777" w:rsidR="00B82EF8" w:rsidRDefault="00B82EF8">
      <w:pPr>
        <w:spacing w:before="0" w:after="0" w:line="240" w:lineRule="auto"/>
      </w:pPr>
      <w:r>
        <w:separator/>
      </w:r>
    </w:p>
  </w:endnote>
  <w:endnote w:type="continuationSeparator" w:id="0">
    <w:p w14:paraId="68E59D0B" w14:textId="77777777" w:rsidR="00B82EF8" w:rsidRDefault="00B82E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5A38" w14:textId="77777777" w:rsidR="00B82EF8" w:rsidRDefault="00B82EF8">
      <w:pPr>
        <w:spacing w:before="0" w:after="0" w:line="240" w:lineRule="auto"/>
      </w:pPr>
      <w:r>
        <w:separator/>
      </w:r>
    </w:p>
  </w:footnote>
  <w:footnote w:type="continuationSeparator" w:id="0">
    <w:p w14:paraId="78855845" w14:textId="77777777" w:rsidR="00B82EF8" w:rsidRDefault="00B82E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F24F" w14:textId="77777777" w:rsidR="0099297B" w:rsidRDefault="00C264D9">
    <w:pPr>
      <w:pStyle w:val="Kopfzeile"/>
      <w:tabs>
        <w:tab w:val="left" w:pos="2355"/>
      </w:tabs>
    </w:pPr>
    <w:r>
      <w:tab/>
    </w:r>
    <w:r>
      <w:rPr>
        <w:noProof/>
      </w:rPr>
      <w:drawing>
        <wp:inline distT="0" distB="0" distL="0" distR="0" wp14:anchorId="15D65EDA" wp14:editId="5C017E73">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7B"/>
    <w:rsid w:val="000038E2"/>
    <w:rsid w:val="000047BA"/>
    <w:rsid w:val="000112E9"/>
    <w:rsid w:val="0001367F"/>
    <w:rsid w:val="00046116"/>
    <w:rsid w:val="00054814"/>
    <w:rsid w:val="00055788"/>
    <w:rsid w:val="0006214C"/>
    <w:rsid w:val="00066F18"/>
    <w:rsid w:val="00077838"/>
    <w:rsid w:val="0009613D"/>
    <w:rsid w:val="00097C01"/>
    <w:rsid w:val="000C5471"/>
    <w:rsid w:val="000C578E"/>
    <w:rsid w:val="0011754D"/>
    <w:rsid w:val="001266F9"/>
    <w:rsid w:val="00130917"/>
    <w:rsid w:val="0013504D"/>
    <w:rsid w:val="00135868"/>
    <w:rsid w:val="00143D0F"/>
    <w:rsid w:val="0014442C"/>
    <w:rsid w:val="00193EF6"/>
    <w:rsid w:val="001A5C65"/>
    <w:rsid w:val="001D27BC"/>
    <w:rsid w:val="001E43F6"/>
    <w:rsid w:val="001E5815"/>
    <w:rsid w:val="001F0006"/>
    <w:rsid w:val="00225A17"/>
    <w:rsid w:val="00225A6D"/>
    <w:rsid w:val="002326C2"/>
    <w:rsid w:val="00232E5B"/>
    <w:rsid w:val="00255692"/>
    <w:rsid w:val="00267B95"/>
    <w:rsid w:val="002724FD"/>
    <w:rsid w:val="002803CF"/>
    <w:rsid w:val="002843B7"/>
    <w:rsid w:val="00291755"/>
    <w:rsid w:val="00294A7E"/>
    <w:rsid w:val="002A3204"/>
    <w:rsid w:val="002A4B72"/>
    <w:rsid w:val="002B481F"/>
    <w:rsid w:val="002E3840"/>
    <w:rsid w:val="002F551F"/>
    <w:rsid w:val="00316EA3"/>
    <w:rsid w:val="00330763"/>
    <w:rsid w:val="003330AA"/>
    <w:rsid w:val="003422D6"/>
    <w:rsid w:val="00365154"/>
    <w:rsid w:val="00376852"/>
    <w:rsid w:val="00382A30"/>
    <w:rsid w:val="00385CBD"/>
    <w:rsid w:val="00392820"/>
    <w:rsid w:val="00394E58"/>
    <w:rsid w:val="003B30C2"/>
    <w:rsid w:val="003B3321"/>
    <w:rsid w:val="003B6AD1"/>
    <w:rsid w:val="003D1717"/>
    <w:rsid w:val="003D5B77"/>
    <w:rsid w:val="003F53D3"/>
    <w:rsid w:val="003F6104"/>
    <w:rsid w:val="004069B6"/>
    <w:rsid w:val="004303EF"/>
    <w:rsid w:val="00431DAF"/>
    <w:rsid w:val="00437647"/>
    <w:rsid w:val="00442E6A"/>
    <w:rsid w:val="00445A3E"/>
    <w:rsid w:val="004710E4"/>
    <w:rsid w:val="00484E45"/>
    <w:rsid w:val="00486461"/>
    <w:rsid w:val="00486B82"/>
    <w:rsid w:val="00487BEA"/>
    <w:rsid w:val="004A5ED0"/>
    <w:rsid w:val="004B14D8"/>
    <w:rsid w:val="004B5D1B"/>
    <w:rsid w:val="004C519D"/>
    <w:rsid w:val="004D5330"/>
    <w:rsid w:val="004F0173"/>
    <w:rsid w:val="004F13F7"/>
    <w:rsid w:val="005117D7"/>
    <w:rsid w:val="005146ED"/>
    <w:rsid w:val="00542335"/>
    <w:rsid w:val="005515F4"/>
    <w:rsid w:val="005659A5"/>
    <w:rsid w:val="005908EF"/>
    <w:rsid w:val="005B3F0B"/>
    <w:rsid w:val="005C754E"/>
    <w:rsid w:val="005D1038"/>
    <w:rsid w:val="005D3DF6"/>
    <w:rsid w:val="005F07C8"/>
    <w:rsid w:val="005F66DC"/>
    <w:rsid w:val="0060557D"/>
    <w:rsid w:val="0061106C"/>
    <w:rsid w:val="00631174"/>
    <w:rsid w:val="006412D8"/>
    <w:rsid w:val="00655238"/>
    <w:rsid w:val="00661C0C"/>
    <w:rsid w:val="00687407"/>
    <w:rsid w:val="006B167A"/>
    <w:rsid w:val="006C4047"/>
    <w:rsid w:val="006D6B7A"/>
    <w:rsid w:val="006E6C6E"/>
    <w:rsid w:val="006F13CF"/>
    <w:rsid w:val="006F6551"/>
    <w:rsid w:val="00702703"/>
    <w:rsid w:val="00706D72"/>
    <w:rsid w:val="007369CD"/>
    <w:rsid w:val="00771D32"/>
    <w:rsid w:val="00780500"/>
    <w:rsid w:val="007A2B40"/>
    <w:rsid w:val="007A403D"/>
    <w:rsid w:val="007A4744"/>
    <w:rsid w:val="007B16AE"/>
    <w:rsid w:val="007B4EEA"/>
    <w:rsid w:val="007B525D"/>
    <w:rsid w:val="007B78A4"/>
    <w:rsid w:val="007B7FA6"/>
    <w:rsid w:val="007D087C"/>
    <w:rsid w:val="007D1C0C"/>
    <w:rsid w:val="007D1D99"/>
    <w:rsid w:val="00805A95"/>
    <w:rsid w:val="00831739"/>
    <w:rsid w:val="0083382B"/>
    <w:rsid w:val="00835725"/>
    <w:rsid w:val="00835F9A"/>
    <w:rsid w:val="00837299"/>
    <w:rsid w:val="00864C24"/>
    <w:rsid w:val="00865549"/>
    <w:rsid w:val="008714CE"/>
    <w:rsid w:val="00872A9C"/>
    <w:rsid w:val="00887265"/>
    <w:rsid w:val="008A297C"/>
    <w:rsid w:val="008B05EA"/>
    <w:rsid w:val="008B5365"/>
    <w:rsid w:val="008B5378"/>
    <w:rsid w:val="009037FB"/>
    <w:rsid w:val="009057E8"/>
    <w:rsid w:val="00906950"/>
    <w:rsid w:val="00910FAB"/>
    <w:rsid w:val="00916470"/>
    <w:rsid w:val="00937538"/>
    <w:rsid w:val="009467DF"/>
    <w:rsid w:val="00957772"/>
    <w:rsid w:val="00963D9D"/>
    <w:rsid w:val="0096434A"/>
    <w:rsid w:val="00982DAF"/>
    <w:rsid w:val="0099297B"/>
    <w:rsid w:val="009A5E2E"/>
    <w:rsid w:val="009B3D94"/>
    <w:rsid w:val="009B641B"/>
    <w:rsid w:val="009C0DF6"/>
    <w:rsid w:val="009E042C"/>
    <w:rsid w:val="009E650B"/>
    <w:rsid w:val="009F175B"/>
    <w:rsid w:val="009F2440"/>
    <w:rsid w:val="009F3FDA"/>
    <w:rsid w:val="009F61B5"/>
    <w:rsid w:val="00A002E7"/>
    <w:rsid w:val="00A05ADE"/>
    <w:rsid w:val="00A17B0E"/>
    <w:rsid w:val="00A22FBC"/>
    <w:rsid w:val="00A45E1F"/>
    <w:rsid w:val="00A63092"/>
    <w:rsid w:val="00A65737"/>
    <w:rsid w:val="00A743F7"/>
    <w:rsid w:val="00A84E72"/>
    <w:rsid w:val="00A850E6"/>
    <w:rsid w:val="00A96DD4"/>
    <w:rsid w:val="00AA0D17"/>
    <w:rsid w:val="00AF5256"/>
    <w:rsid w:val="00B0084A"/>
    <w:rsid w:val="00B07267"/>
    <w:rsid w:val="00B11596"/>
    <w:rsid w:val="00B2553E"/>
    <w:rsid w:val="00B47777"/>
    <w:rsid w:val="00B647DD"/>
    <w:rsid w:val="00B823CA"/>
    <w:rsid w:val="00B82EF8"/>
    <w:rsid w:val="00B9037E"/>
    <w:rsid w:val="00B94138"/>
    <w:rsid w:val="00BC59AD"/>
    <w:rsid w:val="00BD5FA9"/>
    <w:rsid w:val="00BF2293"/>
    <w:rsid w:val="00C1673A"/>
    <w:rsid w:val="00C264D9"/>
    <w:rsid w:val="00C32BE7"/>
    <w:rsid w:val="00C57C9F"/>
    <w:rsid w:val="00C61855"/>
    <w:rsid w:val="00C776B6"/>
    <w:rsid w:val="00C97408"/>
    <w:rsid w:val="00CA0250"/>
    <w:rsid w:val="00CA2B0A"/>
    <w:rsid w:val="00CB5409"/>
    <w:rsid w:val="00CE3443"/>
    <w:rsid w:val="00D02A9C"/>
    <w:rsid w:val="00D102A9"/>
    <w:rsid w:val="00D27AA7"/>
    <w:rsid w:val="00D42C71"/>
    <w:rsid w:val="00D4506D"/>
    <w:rsid w:val="00D56A4F"/>
    <w:rsid w:val="00D626B3"/>
    <w:rsid w:val="00D65F78"/>
    <w:rsid w:val="00D720B2"/>
    <w:rsid w:val="00D75900"/>
    <w:rsid w:val="00D81748"/>
    <w:rsid w:val="00D969CE"/>
    <w:rsid w:val="00DB63D2"/>
    <w:rsid w:val="00DD0D12"/>
    <w:rsid w:val="00DE001D"/>
    <w:rsid w:val="00E12853"/>
    <w:rsid w:val="00E13615"/>
    <w:rsid w:val="00E35238"/>
    <w:rsid w:val="00E35B4F"/>
    <w:rsid w:val="00E44CBE"/>
    <w:rsid w:val="00E4519B"/>
    <w:rsid w:val="00E60B2C"/>
    <w:rsid w:val="00E80C7E"/>
    <w:rsid w:val="00E825ED"/>
    <w:rsid w:val="00E84CF0"/>
    <w:rsid w:val="00EB0D23"/>
    <w:rsid w:val="00EB3F73"/>
    <w:rsid w:val="00EC4C90"/>
    <w:rsid w:val="00EC7262"/>
    <w:rsid w:val="00EF3A49"/>
    <w:rsid w:val="00F12AC8"/>
    <w:rsid w:val="00F13149"/>
    <w:rsid w:val="00F13606"/>
    <w:rsid w:val="00F2689D"/>
    <w:rsid w:val="00F46AC0"/>
    <w:rsid w:val="00F64B1F"/>
    <w:rsid w:val="00F9014A"/>
    <w:rsid w:val="00FB1225"/>
    <w:rsid w:val="00FB7B0D"/>
    <w:rsid w:val="00FD441C"/>
    <w:rsid w:val="00FE123E"/>
    <w:rsid w:val="00FE2D32"/>
    <w:rsid w:val="00FE7EB0"/>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5EFF"/>
  <w15:docId w15:val="{23CEF483-A525-40A4-B17A-05BD169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24FD"/>
    <w:pPr>
      <w:spacing w:before="280" w:after="280" w:line="259" w:lineRule="auto"/>
      <w:textAlignment w:val="baseline"/>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Internetlink">
    <w:name w:val="Internet link"/>
    <w:basedOn w:val="Absatz-Standardschriftart"/>
    <w:qFormat/>
    <w:rPr>
      <w:color w:val="0000FF"/>
      <w:u w:val="single"/>
    </w:rPr>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styleId="Funotenzeichen">
    <w:name w:val="footnote reference"/>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uiPriority w:val="99"/>
    <w:unhideWhenUsed/>
    <w:qFormat/>
    <w:rsid w:val="00EC1667"/>
    <w:rPr>
      <w:color w:val="0563C1" w:themeColor="hyperlink"/>
      <w:u w:val="single"/>
    </w:rPr>
  </w:style>
  <w:style w:type="character" w:styleId="NichtaufgelsteErwhnung">
    <w:name w:val="Unresolved Mention"/>
    <w:basedOn w:val="Absatz-Standardschriftart"/>
    <w:uiPriority w:val="99"/>
    <w:semiHidden/>
    <w:unhideWhenUsed/>
    <w:qFormat/>
    <w:rsid w:val="008050F0"/>
    <w:rPr>
      <w:color w:val="605E5C"/>
      <w:shd w:val="clear" w:color="auto" w:fill="E1DFDD"/>
    </w:rPr>
  </w:style>
  <w:style w:type="character" w:styleId="BesuchterLink">
    <w:name w:val="FollowedHyperlink"/>
    <w:basedOn w:val="Absatz-Standardschriftart"/>
    <w:uiPriority w:val="99"/>
    <w:semiHidden/>
    <w:unhideWhenUsed/>
    <w:rsid w:val="00D10322"/>
    <w:rPr>
      <w:color w:val="954F72" w:themeColor="followedHyperlink"/>
      <w:u w:val="single"/>
    </w:rPr>
  </w:style>
  <w:style w:type="character" w:styleId="Hyperlink">
    <w:name w:val="Hyperlink"/>
    <w:rPr>
      <w:color w:val="000080"/>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qFormat/>
    <w:pPr>
      <w:ind w:left="720"/>
    </w:p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uiPriority w:val="1"/>
    <w:qFormat/>
    <w:rsid w:val="00E41F05"/>
    <w:pPr>
      <w:suppressAutoHyphens w:val="0"/>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9536">
      <w:bodyDiv w:val="1"/>
      <w:marLeft w:val="0"/>
      <w:marRight w:val="0"/>
      <w:marTop w:val="0"/>
      <w:marBottom w:val="0"/>
      <w:divBdr>
        <w:top w:val="none" w:sz="0" w:space="0" w:color="auto"/>
        <w:left w:val="none" w:sz="0" w:space="0" w:color="auto"/>
        <w:bottom w:val="none" w:sz="0" w:space="0" w:color="auto"/>
        <w:right w:val="none" w:sz="0" w:space="0" w:color="auto"/>
      </w:divBdr>
    </w:div>
    <w:div w:id="384334709">
      <w:bodyDiv w:val="1"/>
      <w:marLeft w:val="0"/>
      <w:marRight w:val="0"/>
      <w:marTop w:val="0"/>
      <w:marBottom w:val="0"/>
      <w:divBdr>
        <w:top w:val="none" w:sz="0" w:space="0" w:color="auto"/>
        <w:left w:val="none" w:sz="0" w:space="0" w:color="auto"/>
        <w:bottom w:val="none" w:sz="0" w:space="0" w:color="auto"/>
        <w:right w:val="none" w:sz="0" w:space="0" w:color="auto"/>
      </w:divBdr>
    </w:div>
    <w:div w:id="727805541">
      <w:bodyDiv w:val="1"/>
      <w:marLeft w:val="0"/>
      <w:marRight w:val="0"/>
      <w:marTop w:val="0"/>
      <w:marBottom w:val="0"/>
      <w:divBdr>
        <w:top w:val="none" w:sz="0" w:space="0" w:color="auto"/>
        <w:left w:val="none" w:sz="0" w:space="0" w:color="auto"/>
        <w:bottom w:val="none" w:sz="0" w:space="0" w:color="auto"/>
        <w:right w:val="none" w:sz="0" w:space="0" w:color="auto"/>
      </w:divBdr>
    </w:div>
    <w:div w:id="2050572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zet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othekerkammer-niedersachs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cebook.com/apokammer.nds" TargetMode="External"/><Relationship Id="rId4" Type="http://schemas.openxmlformats.org/officeDocument/2006/relationships/webSettings" Target="webSettings.xml"/><Relationship Id="rId9" Type="http://schemas.openxmlformats.org/officeDocument/2006/relationships/hyperlink" Target="mailto:presse@apothekerkammer-nd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516D-276E-4AC5-BF5E-CB8C54E6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Fyssa, Panagiota | Apothekerkammer Nds</dc:creator>
  <dc:description/>
  <cp:lastModifiedBy>Spengler, Thomas</cp:lastModifiedBy>
  <cp:revision>4</cp:revision>
  <cp:lastPrinted>2025-12-15T13:08:00Z</cp:lastPrinted>
  <dcterms:created xsi:type="dcterms:W3CDTF">2026-04-17T10:16:00Z</dcterms:created>
  <dcterms:modified xsi:type="dcterms:W3CDTF">2026-04-17T10:55:00Z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