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BF9D9" w14:textId="74B143FA" w:rsidR="00147FE6" w:rsidRPr="00147FE6" w:rsidRDefault="00867A30" w:rsidP="00AE2F36">
      <w:pPr>
        <w:pStyle w:val="KeinLeerraum"/>
        <w:ind w:left="2835"/>
        <w:jc w:val="both"/>
        <w:rPr>
          <w:b/>
          <w:sz w:val="24"/>
          <w:szCs w:val="24"/>
        </w:rPr>
      </w:pPr>
      <w:r w:rsidRPr="00867A30">
        <w:rPr>
          <w:b/>
          <w:sz w:val="24"/>
          <w:szCs w:val="24"/>
        </w:rPr>
        <w:t>Unternehmensnachfolge bei Kleinstunternehmen</w:t>
      </w:r>
    </w:p>
    <w:p w14:paraId="4D61A962" w14:textId="20CAFE49" w:rsidR="0047364A" w:rsidRDefault="00867A30" w:rsidP="00AE2F36">
      <w:pPr>
        <w:pStyle w:val="KeinLeerraum"/>
        <w:ind w:left="2835"/>
        <w:jc w:val="both"/>
        <w:rPr>
          <w:b/>
          <w:sz w:val="24"/>
          <w:szCs w:val="24"/>
        </w:rPr>
      </w:pPr>
      <w:r>
        <w:rPr>
          <w:b/>
          <w:sz w:val="24"/>
          <w:szCs w:val="24"/>
        </w:rPr>
        <w:t>Frühzeitige Regelung sichert Betrieb und Arbeitsplätze</w:t>
      </w:r>
    </w:p>
    <w:p w14:paraId="36ABF855" w14:textId="77777777" w:rsidR="0047364A" w:rsidRPr="00975DA2" w:rsidRDefault="0047364A" w:rsidP="00AE2F36">
      <w:pPr>
        <w:tabs>
          <w:tab w:val="left" w:pos="1728"/>
        </w:tabs>
        <w:ind w:left="2835"/>
        <w:rPr>
          <w:b/>
          <w:sz w:val="24"/>
          <w:szCs w:val="24"/>
        </w:rPr>
      </w:pPr>
    </w:p>
    <w:p w14:paraId="1E90E24A" w14:textId="40CDC991" w:rsidR="00867A30" w:rsidRDefault="0047364A" w:rsidP="00867A30">
      <w:pPr>
        <w:pStyle w:val="KeinLeerraum"/>
        <w:ind w:left="2835"/>
        <w:jc w:val="both"/>
        <w:rPr>
          <w:iCs/>
          <w:sz w:val="24"/>
          <w:szCs w:val="24"/>
        </w:rPr>
      </w:pPr>
      <w:r>
        <w:rPr>
          <w:i/>
          <w:iCs/>
          <w:sz w:val="24"/>
          <w:szCs w:val="24"/>
        </w:rPr>
        <w:t>Schleswig-Holsteinische N</w:t>
      </w:r>
      <w:r w:rsidRPr="003B5F40">
        <w:rPr>
          <w:i/>
          <w:iCs/>
          <w:sz w:val="24"/>
          <w:szCs w:val="24"/>
        </w:rPr>
        <w:t>otarkammer</w:t>
      </w:r>
      <w:r w:rsidRPr="003B5F40">
        <w:rPr>
          <w:iCs/>
          <w:sz w:val="24"/>
          <w:szCs w:val="24"/>
        </w:rPr>
        <w:t xml:space="preserve">. </w:t>
      </w:r>
      <w:r w:rsidR="00867A30">
        <w:rPr>
          <w:iCs/>
          <w:sz w:val="24"/>
          <w:szCs w:val="24"/>
        </w:rPr>
        <w:t xml:space="preserve">Wer erfolgreich ein eigenes Unternehmen aufgebaut hat, möchte dessen Fortbestand, </w:t>
      </w:r>
      <w:r w:rsidR="003D1122">
        <w:rPr>
          <w:iCs/>
          <w:sz w:val="24"/>
          <w:szCs w:val="24"/>
        </w:rPr>
        <w:t xml:space="preserve">das </w:t>
      </w:r>
      <w:r w:rsidR="001B7656">
        <w:rPr>
          <w:iCs/>
          <w:sz w:val="24"/>
          <w:szCs w:val="24"/>
        </w:rPr>
        <w:t>vorhandene</w:t>
      </w:r>
      <w:r w:rsidR="003D1122">
        <w:rPr>
          <w:iCs/>
          <w:sz w:val="24"/>
          <w:szCs w:val="24"/>
        </w:rPr>
        <w:t xml:space="preserve"> Know-how, Arbeitsplätze </w:t>
      </w:r>
      <w:r w:rsidR="00867A30">
        <w:rPr>
          <w:iCs/>
          <w:sz w:val="24"/>
          <w:szCs w:val="24"/>
        </w:rPr>
        <w:t>und Vermögenswert</w:t>
      </w:r>
      <w:r w:rsidR="003D1122">
        <w:rPr>
          <w:iCs/>
          <w:sz w:val="24"/>
          <w:szCs w:val="24"/>
        </w:rPr>
        <w:t>e</w:t>
      </w:r>
      <w:r w:rsidR="00867A30">
        <w:rPr>
          <w:iCs/>
          <w:sz w:val="24"/>
          <w:szCs w:val="24"/>
        </w:rPr>
        <w:t xml:space="preserve"> </w:t>
      </w:r>
      <w:r w:rsidR="00742A9D">
        <w:rPr>
          <w:iCs/>
          <w:sz w:val="24"/>
          <w:szCs w:val="24"/>
        </w:rPr>
        <w:t xml:space="preserve">auch </w:t>
      </w:r>
      <w:r w:rsidR="00867A30">
        <w:rPr>
          <w:iCs/>
          <w:sz w:val="24"/>
          <w:szCs w:val="24"/>
        </w:rPr>
        <w:t xml:space="preserve">über den Ruhestand hinaus </w:t>
      </w:r>
      <w:r w:rsidR="003D1122">
        <w:rPr>
          <w:iCs/>
          <w:sz w:val="24"/>
          <w:szCs w:val="24"/>
        </w:rPr>
        <w:t>bewahren</w:t>
      </w:r>
      <w:r w:rsidR="00867A30">
        <w:rPr>
          <w:iCs/>
          <w:sz w:val="24"/>
          <w:szCs w:val="24"/>
        </w:rPr>
        <w:t xml:space="preserve">. Eigentümer sollten daher frühzeitig die Unternehmensnachfolge regeln. </w:t>
      </w:r>
      <w:r w:rsidR="003D1122">
        <w:rPr>
          <w:iCs/>
          <w:sz w:val="24"/>
          <w:szCs w:val="24"/>
        </w:rPr>
        <w:t>Kommt es zu einer</w:t>
      </w:r>
      <w:r w:rsidR="00867A30">
        <w:rPr>
          <w:iCs/>
          <w:sz w:val="24"/>
          <w:szCs w:val="24"/>
        </w:rPr>
        <w:t xml:space="preserve"> </w:t>
      </w:r>
      <w:r w:rsidR="00742A9D">
        <w:rPr>
          <w:iCs/>
          <w:sz w:val="24"/>
          <w:szCs w:val="24"/>
        </w:rPr>
        <w:t>unerwarteten</w:t>
      </w:r>
      <w:r w:rsidR="00867A30">
        <w:rPr>
          <w:iCs/>
          <w:sz w:val="24"/>
          <w:szCs w:val="24"/>
        </w:rPr>
        <w:t xml:space="preserve"> Arbeitsunfähigkeit oder de</w:t>
      </w:r>
      <w:r w:rsidR="003D1122">
        <w:rPr>
          <w:iCs/>
          <w:sz w:val="24"/>
          <w:szCs w:val="24"/>
        </w:rPr>
        <w:t>m</w:t>
      </w:r>
      <w:r w:rsidR="00867A30">
        <w:rPr>
          <w:iCs/>
          <w:sz w:val="24"/>
          <w:szCs w:val="24"/>
        </w:rPr>
        <w:t xml:space="preserve"> </w:t>
      </w:r>
      <w:r w:rsidR="00742A9D">
        <w:rPr>
          <w:iCs/>
          <w:sz w:val="24"/>
          <w:szCs w:val="24"/>
        </w:rPr>
        <w:t>plötzlichen</w:t>
      </w:r>
      <w:r w:rsidR="00867A30">
        <w:rPr>
          <w:iCs/>
          <w:sz w:val="24"/>
          <w:szCs w:val="24"/>
        </w:rPr>
        <w:t xml:space="preserve"> Tod des Unternehmers</w:t>
      </w:r>
      <w:r w:rsidR="003D1122">
        <w:rPr>
          <w:iCs/>
          <w:sz w:val="24"/>
          <w:szCs w:val="24"/>
        </w:rPr>
        <w:t xml:space="preserve">, </w:t>
      </w:r>
      <w:r w:rsidR="003B6BE9">
        <w:rPr>
          <w:iCs/>
          <w:sz w:val="24"/>
          <w:szCs w:val="24"/>
        </w:rPr>
        <w:t>drohen</w:t>
      </w:r>
      <w:r w:rsidR="003D1122">
        <w:rPr>
          <w:iCs/>
          <w:sz w:val="24"/>
          <w:szCs w:val="24"/>
        </w:rPr>
        <w:t xml:space="preserve"> </w:t>
      </w:r>
      <w:r w:rsidR="00A5222A">
        <w:rPr>
          <w:iCs/>
          <w:sz w:val="24"/>
          <w:szCs w:val="24"/>
        </w:rPr>
        <w:t xml:space="preserve">ohne geregelte Nachfolge </w:t>
      </w:r>
      <w:r w:rsidR="003D1122">
        <w:rPr>
          <w:iCs/>
          <w:sz w:val="24"/>
          <w:szCs w:val="24"/>
        </w:rPr>
        <w:t>sowohl Führungslosigkeit und Liquiditätsprobleme als auch Streit ums Erbe und hohe Erbschaftssteuern.</w:t>
      </w:r>
    </w:p>
    <w:p w14:paraId="7E1E8FA9" w14:textId="757A324A" w:rsidR="00867A30" w:rsidRDefault="00867A30" w:rsidP="00723EA5">
      <w:pPr>
        <w:pStyle w:val="KeinLeerraum"/>
        <w:ind w:left="2835"/>
        <w:jc w:val="both"/>
        <w:rPr>
          <w:iCs/>
          <w:sz w:val="24"/>
          <w:szCs w:val="24"/>
        </w:rPr>
      </w:pPr>
    </w:p>
    <w:p w14:paraId="6BE8304D" w14:textId="5A0B61B4" w:rsidR="00867A30" w:rsidRPr="00A5222A" w:rsidRDefault="00A5222A" w:rsidP="00723EA5">
      <w:pPr>
        <w:pStyle w:val="KeinLeerraum"/>
        <w:ind w:left="2835"/>
        <w:jc w:val="both"/>
        <w:rPr>
          <w:b/>
          <w:iCs/>
          <w:sz w:val="24"/>
          <w:szCs w:val="24"/>
        </w:rPr>
      </w:pPr>
      <w:r w:rsidRPr="00A5222A">
        <w:rPr>
          <w:b/>
          <w:iCs/>
          <w:sz w:val="24"/>
          <w:szCs w:val="24"/>
        </w:rPr>
        <w:t xml:space="preserve">Familienmitglied als </w:t>
      </w:r>
      <w:r>
        <w:rPr>
          <w:b/>
          <w:iCs/>
          <w:sz w:val="24"/>
          <w:szCs w:val="24"/>
        </w:rPr>
        <w:t xml:space="preserve">Geschäftsführer oder </w:t>
      </w:r>
      <w:r w:rsidRPr="00A5222A">
        <w:rPr>
          <w:b/>
          <w:iCs/>
          <w:sz w:val="24"/>
          <w:szCs w:val="24"/>
        </w:rPr>
        <w:t>Gesellschafter</w:t>
      </w:r>
    </w:p>
    <w:p w14:paraId="070D1D97" w14:textId="3F66FEFA" w:rsidR="00867A30" w:rsidRDefault="00A5222A" w:rsidP="00723EA5">
      <w:pPr>
        <w:pStyle w:val="KeinLeerraum"/>
        <w:ind w:left="2835"/>
        <w:jc w:val="both"/>
        <w:rPr>
          <w:iCs/>
          <w:sz w:val="24"/>
          <w:szCs w:val="24"/>
        </w:rPr>
      </w:pPr>
      <w:r>
        <w:rPr>
          <w:iCs/>
          <w:sz w:val="24"/>
          <w:szCs w:val="24"/>
        </w:rPr>
        <w:t>Oft besteht der Wunsch, dass ein Familienmitglied das Unternehmen fortführt. Enge Verwandte, die über die nötigen Fachkenntnisse und eine entsprechende Berufsausbildung verfügen, können den Betrieb bereits zu Lebzeiten des bisherigen Eigentümers auf Gesellschafter- und Geschäftsführungsebene übernehmen. Familienmitglieder</w:t>
      </w:r>
      <w:r w:rsidR="008528D4">
        <w:rPr>
          <w:iCs/>
          <w:sz w:val="24"/>
          <w:szCs w:val="24"/>
        </w:rPr>
        <w:t>, die diese Voraussetzungen nicht erfüllen, können alternativ</w:t>
      </w:r>
      <w:r>
        <w:rPr>
          <w:iCs/>
          <w:sz w:val="24"/>
          <w:szCs w:val="24"/>
        </w:rPr>
        <w:t xml:space="preserve"> als Gesellschafter einbezogen werden und eine fachkundige Person außerhalb der Familie </w:t>
      </w:r>
      <w:r w:rsidR="008528D4">
        <w:rPr>
          <w:iCs/>
          <w:sz w:val="24"/>
          <w:szCs w:val="24"/>
        </w:rPr>
        <w:t>wird Geschäftsführer</w:t>
      </w:r>
      <w:r>
        <w:rPr>
          <w:iCs/>
          <w:sz w:val="24"/>
          <w:szCs w:val="24"/>
        </w:rPr>
        <w:t>.</w:t>
      </w:r>
      <w:r w:rsidR="008528D4">
        <w:rPr>
          <w:iCs/>
          <w:sz w:val="24"/>
          <w:szCs w:val="24"/>
        </w:rPr>
        <w:t xml:space="preserve"> Falls das Unternehmen nicht </w:t>
      </w:r>
      <w:r w:rsidR="00440106">
        <w:rPr>
          <w:iCs/>
          <w:sz w:val="24"/>
          <w:szCs w:val="24"/>
        </w:rPr>
        <w:t>im</w:t>
      </w:r>
      <w:r w:rsidR="008528D4">
        <w:rPr>
          <w:iCs/>
          <w:sz w:val="24"/>
          <w:szCs w:val="24"/>
        </w:rPr>
        <w:t xml:space="preserve"> Familie</w:t>
      </w:r>
      <w:r w:rsidR="00440106">
        <w:rPr>
          <w:iCs/>
          <w:sz w:val="24"/>
          <w:szCs w:val="24"/>
        </w:rPr>
        <w:t>nbesitz</w:t>
      </w:r>
      <w:r w:rsidR="008528D4">
        <w:rPr>
          <w:iCs/>
          <w:sz w:val="24"/>
          <w:szCs w:val="24"/>
        </w:rPr>
        <w:t xml:space="preserve"> bleiben, aber </w:t>
      </w:r>
      <w:r w:rsidR="003B6BE9">
        <w:rPr>
          <w:iCs/>
          <w:sz w:val="24"/>
          <w:szCs w:val="24"/>
        </w:rPr>
        <w:t xml:space="preserve">dennoch </w:t>
      </w:r>
      <w:r w:rsidR="008528D4">
        <w:rPr>
          <w:iCs/>
          <w:sz w:val="24"/>
          <w:szCs w:val="24"/>
        </w:rPr>
        <w:t xml:space="preserve">erhalten werden soll, ist ein Verkauf an einen Investor, einen bewährten leitenden Mitarbeiter oder eine externe Führungskraft </w:t>
      </w:r>
      <w:r w:rsidR="00C669CA">
        <w:rPr>
          <w:iCs/>
          <w:sz w:val="24"/>
          <w:szCs w:val="24"/>
        </w:rPr>
        <w:t xml:space="preserve">mit großer Berufserfahrung </w:t>
      </w:r>
      <w:r w:rsidR="008528D4">
        <w:rPr>
          <w:iCs/>
          <w:sz w:val="24"/>
          <w:szCs w:val="24"/>
        </w:rPr>
        <w:t>möglich.</w:t>
      </w:r>
    </w:p>
    <w:p w14:paraId="0DB7931A" w14:textId="5692FAE6" w:rsidR="00867A30" w:rsidRDefault="00867A30" w:rsidP="00723EA5">
      <w:pPr>
        <w:pStyle w:val="KeinLeerraum"/>
        <w:ind w:left="2835"/>
        <w:jc w:val="both"/>
        <w:rPr>
          <w:iCs/>
          <w:sz w:val="24"/>
          <w:szCs w:val="24"/>
        </w:rPr>
      </w:pPr>
    </w:p>
    <w:p w14:paraId="63526250" w14:textId="74E5D2AD" w:rsidR="003C4130" w:rsidRPr="00723EA5" w:rsidRDefault="00440106" w:rsidP="003C4130">
      <w:pPr>
        <w:pStyle w:val="KeinLeerraum"/>
        <w:ind w:left="2835"/>
        <w:jc w:val="both"/>
        <w:rPr>
          <w:b/>
          <w:iCs/>
          <w:sz w:val="24"/>
          <w:szCs w:val="24"/>
        </w:rPr>
      </w:pPr>
      <w:r>
        <w:rPr>
          <w:b/>
          <w:iCs/>
          <w:sz w:val="24"/>
          <w:szCs w:val="24"/>
        </w:rPr>
        <w:t xml:space="preserve">Schrittweise </w:t>
      </w:r>
      <w:r w:rsidR="003C4130">
        <w:rPr>
          <w:b/>
          <w:iCs/>
          <w:sz w:val="24"/>
          <w:szCs w:val="24"/>
        </w:rPr>
        <w:t>Über</w:t>
      </w:r>
      <w:r>
        <w:rPr>
          <w:b/>
          <w:iCs/>
          <w:sz w:val="24"/>
          <w:szCs w:val="24"/>
        </w:rPr>
        <w:t>gabe</w:t>
      </w:r>
      <w:r w:rsidR="003C4130">
        <w:rPr>
          <w:b/>
          <w:iCs/>
          <w:sz w:val="24"/>
          <w:szCs w:val="24"/>
        </w:rPr>
        <w:t xml:space="preserve"> des Unternehmens </w:t>
      </w:r>
      <w:r>
        <w:rPr>
          <w:b/>
          <w:iCs/>
          <w:sz w:val="24"/>
          <w:szCs w:val="24"/>
        </w:rPr>
        <w:t>an den Nachfolger</w:t>
      </w:r>
    </w:p>
    <w:p w14:paraId="6A9282BB" w14:textId="51388162" w:rsidR="003C4130" w:rsidRDefault="005C09B5" w:rsidP="005C09B5">
      <w:pPr>
        <w:pStyle w:val="KeinLeerraum"/>
        <w:ind w:left="2835"/>
        <w:jc w:val="both"/>
        <w:rPr>
          <w:iCs/>
          <w:sz w:val="24"/>
          <w:szCs w:val="24"/>
        </w:rPr>
      </w:pPr>
      <w:r>
        <w:rPr>
          <w:iCs/>
          <w:sz w:val="24"/>
          <w:szCs w:val="24"/>
        </w:rPr>
        <w:t xml:space="preserve">Wenn ein Unternehmen vom bisherigen Eigentümer auf ein Familienmitglied übergeht, spielen erbrechtliche, gesellschaftsrechtliche und steuerrechtliche Fragen eine entscheidende Rolle. Bei einer lebzeitigen Übertragung handelt es sich oft um eine </w:t>
      </w:r>
      <w:r w:rsidR="00897336">
        <w:rPr>
          <w:iCs/>
          <w:sz w:val="24"/>
          <w:szCs w:val="24"/>
        </w:rPr>
        <w:t xml:space="preserve">(zumindest teilweise) </w:t>
      </w:r>
      <w:r>
        <w:rPr>
          <w:iCs/>
          <w:sz w:val="24"/>
          <w:szCs w:val="24"/>
        </w:rPr>
        <w:t>Schenkung</w:t>
      </w:r>
      <w:r w:rsidR="003C4130">
        <w:rPr>
          <w:iCs/>
          <w:sz w:val="24"/>
          <w:szCs w:val="24"/>
        </w:rPr>
        <w:t xml:space="preserve">. </w:t>
      </w:r>
      <w:r w:rsidR="00BB5F4D">
        <w:rPr>
          <w:iCs/>
          <w:sz w:val="24"/>
          <w:szCs w:val="24"/>
        </w:rPr>
        <w:t xml:space="preserve">Im besten Fall </w:t>
      </w:r>
      <w:r w:rsidR="003C4130">
        <w:rPr>
          <w:iCs/>
          <w:sz w:val="24"/>
          <w:szCs w:val="24"/>
        </w:rPr>
        <w:t xml:space="preserve">können </w:t>
      </w:r>
      <w:r>
        <w:rPr>
          <w:iCs/>
          <w:sz w:val="24"/>
          <w:szCs w:val="24"/>
        </w:rPr>
        <w:t>Unternehmer</w:t>
      </w:r>
      <w:r w:rsidR="003C4130">
        <w:rPr>
          <w:iCs/>
          <w:sz w:val="24"/>
          <w:szCs w:val="24"/>
        </w:rPr>
        <w:t xml:space="preserve"> den Wechsel gut planen und erbschafts- sowie steuerrechtliche Vorteile für das Betriebsvermögen nutzen. Es ist empfehlenswert, dass die Übernahme schrittweise erfolgt, beispielsweise durch eine sukzessive Übertragung der Gesellschaftsanteile. Der bisherige Unternehmer unterstützt den Nachfolger beim Einstieg und kann sich selbst immer weiter zurückziehen. Auch Rentenzahlungen zur eigenen Absicherung sind möglich. Wichtig ist, die Übertragung sorgfältig zu strukturieren, um unerwünschte Folgen zu vermeiden. Beispielsweise kann es zu Pflichtteilsergänzungsansprüchen kommen, wenn nicht alle Erben im </w:t>
      </w:r>
      <w:r w:rsidR="00440106">
        <w:rPr>
          <w:iCs/>
          <w:sz w:val="24"/>
          <w:szCs w:val="24"/>
        </w:rPr>
        <w:t>Rahmen</w:t>
      </w:r>
      <w:r w:rsidR="003C4130">
        <w:rPr>
          <w:iCs/>
          <w:sz w:val="24"/>
          <w:szCs w:val="24"/>
        </w:rPr>
        <w:t xml:space="preserve"> der vorweggenommenen Erbfolge bedacht </w:t>
      </w:r>
      <w:r w:rsidR="003C4130">
        <w:rPr>
          <w:iCs/>
          <w:sz w:val="24"/>
          <w:szCs w:val="24"/>
        </w:rPr>
        <w:lastRenderedPageBreak/>
        <w:t>werden. Dies lässt sich unter Umständen durch persönliche Kommunikation und Pflichtteilsverzichtsverträge verhindern.</w:t>
      </w:r>
    </w:p>
    <w:p w14:paraId="6D14E9F8" w14:textId="77777777" w:rsidR="00BB5F4D" w:rsidRDefault="00BB5F4D" w:rsidP="005C09B5">
      <w:pPr>
        <w:pStyle w:val="KeinLeerraum"/>
        <w:ind w:left="2835"/>
        <w:jc w:val="both"/>
        <w:rPr>
          <w:iCs/>
          <w:sz w:val="24"/>
          <w:szCs w:val="24"/>
        </w:rPr>
      </w:pPr>
    </w:p>
    <w:p w14:paraId="6027B03A" w14:textId="0383B265" w:rsidR="00C669CA" w:rsidRPr="00723EA5" w:rsidRDefault="00C669CA" w:rsidP="00C669CA">
      <w:pPr>
        <w:pStyle w:val="KeinLeerraum"/>
        <w:ind w:left="2835"/>
        <w:jc w:val="both"/>
        <w:rPr>
          <w:b/>
          <w:iCs/>
          <w:sz w:val="24"/>
          <w:szCs w:val="24"/>
        </w:rPr>
      </w:pPr>
      <w:r>
        <w:rPr>
          <w:b/>
          <w:iCs/>
          <w:sz w:val="24"/>
          <w:szCs w:val="24"/>
        </w:rPr>
        <w:t xml:space="preserve">Unternehmertestament regelt </w:t>
      </w:r>
      <w:r w:rsidR="00B703F9">
        <w:rPr>
          <w:b/>
          <w:iCs/>
          <w:sz w:val="24"/>
          <w:szCs w:val="24"/>
        </w:rPr>
        <w:t>N</w:t>
      </w:r>
      <w:r>
        <w:rPr>
          <w:b/>
          <w:iCs/>
          <w:sz w:val="24"/>
          <w:szCs w:val="24"/>
        </w:rPr>
        <w:t>achfolge</w:t>
      </w:r>
      <w:r w:rsidR="00B703F9">
        <w:rPr>
          <w:b/>
          <w:iCs/>
          <w:sz w:val="24"/>
          <w:szCs w:val="24"/>
        </w:rPr>
        <w:t xml:space="preserve"> im Todesfall</w:t>
      </w:r>
    </w:p>
    <w:p w14:paraId="57F009C5" w14:textId="064F06DA" w:rsidR="003B6BE9" w:rsidRDefault="005C09B5" w:rsidP="00C669CA">
      <w:pPr>
        <w:pStyle w:val="KeinLeerraum"/>
        <w:ind w:left="2835"/>
        <w:jc w:val="both"/>
        <w:rPr>
          <w:iCs/>
          <w:sz w:val="24"/>
          <w:szCs w:val="24"/>
        </w:rPr>
      </w:pPr>
      <w:r>
        <w:rPr>
          <w:iCs/>
          <w:sz w:val="24"/>
          <w:szCs w:val="24"/>
        </w:rPr>
        <w:t xml:space="preserve">Ein Unternehmertestament hingegen ermöglicht, die Nachfolge im Unternehmen </w:t>
      </w:r>
      <w:r w:rsidR="00E52D6C">
        <w:rPr>
          <w:iCs/>
          <w:sz w:val="24"/>
          <w:szCs w:val="24"/>
        </w:rPr>
        <w:t xml:space="preserve">erst </w:t>
      </w:r>
      <w:r>
        <w:rPr>
          <w:iCs/>
          <w:sz w:val="24"/>
          <w:szCs w:val="24"/>
        </w:rPr>
        <w:t>nach dem Tode zu regeln.</w:t>
      </w:r>
      <w:r w:rsidR="004E33DE">
        <w:rPr>
          <w:iCs/>
          <w:sz w:val="24"/>
          <w:szCs w:val="24"/>
        </w:rPr>
        <w:t xml:space="preserve"> </w:t>
      </w:r>
      <w:r w:rsidR="003B6BE9">
        <w:rPr>
          <w:iCs/>
          <w:sz w:val="24"/>
          <w:szCs w:val="24"/>
        </w:rPr>
        <w:t>Ohne Testament</w:t>
      </w:r>
      <w:r w:rsidR="004E33DE">
        <w:rPr>
          <w:iCs/>
          <w:sz w:val="24"/>
          <w:szCs w:val="24"/>
        </w:rPr>
        <w:t xml:space="preserve"> kommt es zur Gesamtrechtsnachfolge durch den oder die Erben, die </w:t>
      </w:r>
      <w:r>
        <w:rPr>
          <w:iCs/>
          <w:sz w:val="24"/>
          <w:szCs w:val="24"/>
        </w:rPr>
        <w:t xml:space="preserve">wirtschaftlich </w:t>
      </w:r>
      <w:r w:rsidR="004E33DE">
        <w:rPr>
          <w:iCs/>
          <w:sz w:val="24"/>
          <w:szCs w:val="24"/>
        </w:rPr>
        <w:t xml:space="preserve">in aller Regel nicht sinnvoll ist. </w:t>
      </w:r>
      <w:r>
        <w:rPr>
          <w:iCs/>
          <w:sz w:val="24"/>
          <w:szCs w:val="24"/>
        </w:rPr>
        <w:t xml:space="preserve">GmbH- und Kommandit-Anteile sind prinzipiell vererblich. Ein Notar unterstützt Unternehmensinhaber festzulegen, welche Erben tatsächlich Gesellschafter werden, und berät zu abweichenden Regelungen. </w:t>
      </w:r>
      <w:r w:rsidR="00AE7362">
        <w:rPr>
          <w:iCs/>
          <w:sz w:val="24"/>
          <w:szCs w:val="24"/>
        </w:rPr>
        <w:t>Das</w:t>
      </w:r>
      <w:r w:rsidR="004E33DE">
        <w:rPr>
          <w:iCs/>
          <w:sz w:val="24"/>
          <w:szCs w:val="24"/>
        </w:rPr>
        <w:t xml:space="preserve"> </w:t>
      </w:r>
      <w:r w:rsidR="00887677">
        <w:rPr>
          <w:iCs/>
          <w:sz w:val="24"/>
          <w:szCs w:val="24"/>
        </w:rPr>
        <w:t>Unternehmert</w:t>
      </w:r>
      <w:r w:rsidR="004E33DE">
        <w:rPr>
          <w:iCs/>
          <w:sz w:val="24"/>
          <w:szCs w:val="24"/>
        </w:rPr>
        <w:t>estament sollte unbedingt die bestehenden Gesellschaftsverträge berücksichtig</w:t>
      </w:r>
      <w:r w:rsidR="00AE7362">
        <w:rPr>
          <w:iCs/>
          <w:sz w:val="24"/>
          <w:szCs w:val="24"/>
        </w:rPr>
        <w:t>en</w:t>
      </w:r>
      <w:r w:rsidR="00CA0FED">
        <w:rPr>
          <w:iCs/>
          <w:sz w:val="24"/>
          <w:szCs w:val="24"/>
        </w:rPr>
        <w:t xml:space="preserve">. </w:t>
      </w:r>
      <w:r w:rsidR="00E52D6C">
        <w:rPr>
          <w:iCs/>
          <w:sz w:val="24"/>
          <w:szCs w:val="24"/>
        </w:rPr>
        <w:t>Ebenso sollten</w:t>
      </w:r>
      <w:r w:rsidR="00C838E8">
        <w:rPr>
          <w:iCs/>
          <w:sz w:val="24"/>
          <w:szCs w:val="24"/>
        </w:rPr>
        <w:t xml:space="preserve"> </w:t>
      </w:r>
      <w:r w:rsidR="00E52D6C">
        <w:rPr>
          <w:iCs/>
          <w:sz w:val="24"/>
          <w:szCs w:val="24"/>
        </w:rPr>
        <w:t xml:space="preserve">auch </w:t>
      </w:r>
      <w:r w:rsidR="004E33DE">
        <w:rPr>
          <w:iCs/>
          <w:sz w:val="24"/>
          <w:szCs w:val="24"/>
        </w:rPr>
        <w:t>die Verträge an das Testament angepasst werden.</w:t>
      </w:r>
    </w:p>
    <w:p w14:paraId="3F1E1FC7" w14:textId="77777777" w:rsidR="003B6BE9" w:rsidRDefault="003B6BE9" w:rsidP="00C669CA">
      <w:pPr>
        <w:pStyle w:val="KeinLeerraum"/>
        <w:ind w:left="2835"/>
        <w:jc w:val="both"/>
        <w:rPr>
          <w:iCs/>
          <w:sz w:val="24"/>
          <w:szCs w:val="24"/>
        </w:rPr>
      </w:pPr>
    </w:p>
    <w:p w14:paraId="5DD9628A" w14:textId="77777777" w:rsidR="00A42EAF" w:rsidRDefault="00BB5F4D" w:rsidP="00C669CA">
      <w:pPr>
        <w:pStyle w:val="KeinLeerraum"/>
        <w:ind w:left="2835"/>
        <w:jc w:val="both"/>
        <w:rPr>
          <w:b/>
          <w:iCs/>
          <w:sz w:val="24"/>
          <w:szCs w:val="24"/>
        </w:rPr>
      </w:pPr>
      <w:r>
        <w:rPr>
          <w:b/>
          <w:iCs/>
          <w:sz w:val="24"/>
          <w:szCs w:val="24"/>
        </w:rPr>
        <w:t xml:space="preserve">Vorsorgevollmacht </w:t>
      </w:r>
      <w:r w:rsidR="00A42EAF">
        <w:rPr>
          <w:b/>
          <w:iCs/>
          <w:sz w:val="24"/>
          <w:szCs w:val="24"/>
        </w:rPr>
        <w:t>hilft bei Unglücksfällen und Krankheit</w:t>
      </w:r>
    </w:p>
    <w:p w14:paraId="39C2AA88" w14:textId="59687105" w:rsidR="00A42EAF" w:rsidRPr="000C23DB" w:rsidRDefault="00A42EAF" w:rsidP="00C669CA">
      <w:pPr>
        <w:pStyle w:val="KeinLeerraum"/>
        <w:ind w:left="2835"/>
        <w:jc w:val="both"/>
        <w:rPr>
          <w:iCs/>
          <w:sz w:val="24"/>
          <w:szCs w:val="24"/>
        </w:rPr>
      </w:pPr>
      <w:r>
        <w:rPr>
          <w:iCs/>
          <w:sz w:val="24"/>
          <w:szCs w:val="24"/>
        </w:rPr>
        <w:t xml:space="preserve">Jeder Unternehmer sollte auch für Unglücke und Krankheit vorsorgen. Eine Vollmacht ermöglicht es dann, neben den vermögensrechtlichen Angelegenheiten auch </w:t>
      </w:r>
      <w:r w:rsidR="00B9211A">
        <w:rPr>
          <w:iCs/>
          <w:sz w:val="24"/>
          <w:szCs w:val="24"/>
        </w:rPr>
        <w:t>noch für die gesundheitliche Sorge Unterstützung der Bevollmächtigten zu erhalten.</w:t>
      </w:r>
    </w:p>
    <w:p w14:paraId="5FBD6ABB" w14:textId="77777777" w:rsidR="00A42EAF" w:rsidRDefault="00A42EAF" w:rsidP="00C669CA">
      <w:pPr>
        <w:pStyle w:val="KeinLeerraum"/>
        <w:ind w:left="2835"/>
        <w:jc w:val="both"/>
        <w:rPr>
          <w:b/>
          <w:iCs/>
          <w:sz w:val="24"/>
          <w:szCs w:val="24"/>
        </w:rPr>
      </w:pPr>
    </w:p>
    <w:p w14:paraId="3BA3BD06" w14:textId="14558428" w:rsidR="003B6BE9" w:rsidRPr="003B6BE9" w:rsidRDefault="003B6BE9" w:rsidP="00C669CA">
      <w:pPr>
        <w:pStyle w:val="KeinLeerraum"/>
        <w:ind w:left="2835"/>
        <w:jc w:val="both"/>
        <w:rPr>
          <w:b/>
          <w:iCs/>
          <w:sz w:val="24"/>
          <w:szCs w:val="24"/>
        </w:rPr>
      </w:pPr>
      <w:r w:rsidRPr="003B6BE9">
        <w:rPr>
          <w:b/>
          <w:iCs/>
          <w:sz w:val="24"/>
          <w:szCs w:val="24"/>
        </w:rPr>
        <w:t>Neue gesetzliche Regelungen für GbR, KG und OH</w:t>
      </w:r>
      <w:r>
        <w:rPr>
          <w:b/>
          <w:iCs/>
          <w:sz w:val="24"/>
          <w:szCs w:val="24"/>
        </w:rPr>
        <w:t>G</w:t>
      </w:r>
    </w:p>
    <w:p w14:paraId="7F88D8A1" w14:textId="6B2C088E" w:rsidR="005C0623" w:rsidRDefault="000464A6" w:rsidP="003C4130">
      <w:pPr>
        <w:pStyle w:val="KeinLeerraum"/>
        <w:ind w:left="2835"/>
        <w:jc w:val="both"/>
        <w:rPr>
          <w:iCs/>
          <w:sz w:val="24"/>
          <w:szCs w:val="24"/>
        </w:rPr>
      </w:pPr>
      <w:r>
        <w:rPr>
          <w:iCs/>
          <w:sz w:val="24"/>
          <w:szCs w:val="24"/>
        </w:rPr>
        <w:t xml:space="preserve">Seit </w:t>
      </w:r>
      <w:r w:rsidR="00AD3FC7">
        <w:rPr>
          <w:iCs/>
          <w:sz w:val="24"/>
          <w:szCs w:val="24"/>
        </w:rPr>
        <w:t xml:space="preserve">dem 1. Januar 2024 </w:t>
      </w:r>
      <w:r>
        <w:rPr>
          <w:iCs/>
          <w:sz w:val="24"/>
          <w:szCs w:val="24"/>
        </w:rPr>
        <w:t xml:space="preserve">geht </w:t>
      </w:r>
      <w:r w:rsidR="00AD3FC7">
        <w:rPr>
          <w:iCs/>
          <w:sz w:val="24"/>
          <w:szCs w:val="24"/>
        </w:rPr>
        <w:t>auch bei Gesellschaften bürgerlichen Rechts (GbR)</w:t>
      </w:r>
      <w:r w:rsidR="004038A8">
        <w:rPr>
          <w:iCs/>
          <w:sz w:val="24"/>
          <w:szCs w:val="24"/>
        </w:rPr>
        <w:t xml:space="preserve"> der Anteil</w:t>
      </w:r>
      <w:r w:rsidR="003B6BE9">
        <w:rPr>
          <w:iCs/>
          <w:sz w:val="24"/>
          <w:szCs w:val="24"/>
        </w:rPr>
        <w:t xml:space="preserve"> eines verstorbenen Gesellschafters auf dessen Erben über, sofern der Gesellschaftsvertrag keine Auflösung vorsieht. Dies </w:t>
      </w:r>
      <w:r>
        <w:rPr>
          <w:iCs/>
          <w:sz w:val="24"/>
          <w:szCs w:val="24"/>
        </w:rPr>
        <w:t xml:space="preserve">gilt </w:t>
      </w:r>
      <w:r w:rsidR="00487C38">
        <w:rPr>
          <w:iCs/>
          <w:sz w:val="24"/>
          <w:szCs w:val="24"/>
        </w:rPr>
        <w:t>ebenso</w:t>
      </w:r>
      <w:r w:rsidR="003B6BE9">
        <w:rPr>
          <w:iCs/>
          <w:sz w:val="24"/>
          <w:szCs w:val="24"/>
        </w:rPr>
        <w:t xml:space="preserve"> für den </w:t>
      </w:r>
      <w:r w:rsidR="003B6BE9" w:rsidRPr="003B6BE9">
        <w:rPr>
          <w:iCs/>
          <w:sz w:val="24"/>
          <w:szCs w:val="24"/>
        </w:rPr>
        <w:t xml:space="preserve">Tod eines persönlich haftenden Gesellschafters einer </w:t>
      </w:r>
      <w:r w:rsidR="003B6BE9">
        <w:rPr>
          <w:iCs/>
          <w:sz w:val="24"/>
          <w:szCs w:val="24"/>
        </w:rPr>
        <w:t>Kommanditgesellschaft (</w:t>
      </w:r>
      <w:r w:rsidR="003B6BE9" w:rsidRPr="003B6BE9">
        <w:rPr>
          <w:iCs/>
          <w:sz w:val="24"/>
          <w:szCs w:val="24"/>
        </w:rPr>
        <w:t>KG</w:t>
      </w:r>
      <w:r w:rsidR="003B6BE9">
        <w:rPr>
          <w:iCs/>
          <w:sz w:val="24"/>
          <w:szCs w:val="24"/>
        </w:rPr>
        <w:t xml:space="preserve">) oder Offenen Handelsgesellschaft (OHG). </w:t>
      </w:r>
      <w:r w:rsidR="00C838E8">
        <w:rPr>
          <w:iCs/>
          <w:sz w:val="24"/>
          <w:szCs w:val="24"/>
        </w:rPr>
        <w:t>Eine explizite Regelung, das Unternehmen fortzuführen</w:t>
      </w:r>
      <w:r w:rsidR="00E52D6C">
        <w:rPr>
          <w:iCs/>
          <w:sz w:val="24"/>
          <w:szCs w:val="24"/>
        </w:rPr>
        <w:t>,</w:t>
      </w:r>
      <w:r w:rsidR="00C838E8">
        <w:rPr>
          <w:iCs/>
          <w:sz w:val="24"/>
          <w:szCs w:val="24"/>
        </w:rPr>
        <w:t xml:space="preserve"> ist damit nicht mehr </w:t>
      </w:r>
      <w:r w:rsidR="00B9211A">
        <w:rPr>
          <w:iCs/>
          <w:sz w:val="24"/>
          <w:szCs w:val="24"/>
        </w:rPr>
        <w:t xml:space="preserve">zwingend </w:t>
      </w:r>
      <w:r w:rsidR="00C838E8">
        <w:rPr>
          <w:iCs/>
          <w:sz w:val="24"/>
          <w:szCs w:val="24"/>
        </w:rPr>
        <w:t>notwendig. Allerdings</w:t>
      </w:r>
      <w:r w:rsidR="003B6BE9">
        <w:rPr>
          <w:iCs/>
          <w:sz w:val="24"/>
          <w:szCs w:val="24"/>
        </w:rPr>
        <w:t xml:space="preserve"> sollte auch </w:t>
      </w:r>
      <w:r w:rsidR="00C838E8">
        <w:rPr>
          <w:iCs/>
          <w:sz w:val="24"/>
          <w:szCs w:val="24"/>
        </w:rPr>
        <w:t>hier festgelegt</w:t>
      </w:r>
      <w:r w:rsidR="003B6BE9">
        <w:rPr>
          <w:iCs/>
          <w:sz w:val="24"/>
          <w:szCs w:val="24"/>
        </w:rPr>
        <w:t xml:space="preserve"> werden, welche Erbberechtigten neue Gesellschafter sein sollen</w:t>
      </w:r>
      <w:r w:rsidR="00723EA5" w:rsidRPr="00723EA5">
        <w:rPr>
          <w:iCs/>
          <w:sz w:val="24"/>
          <w:szCs w:val="24"/>
        </w:rPr>
        <w:t>.</w:t>
      </w:r>
    </w:p>
    <w:p w14:paraId="6A792492" w14:textId="77777777" w:rsidR="001F589D" w:rsidRDefault="001F589D" w:rsidP="00AE2F36">
      <w:pPr>
        <w:pStyle w:val="KeinLeerraum"/>
        <w:ind w:left="2835"/>
        <w:jc w:val="both"/>
        <w:rPr>
          <w:iCs/>
          <w:sz w:val="24"/>
          <w:szCs w:val="24"/>
        </w:rPr>
      </w:pPr>
    </w:p>
    <w:p w14:paraId="1B8ED3E3" w14:textId="7DC78653" w:rsidR="0047364A" w:rsidRDefault="003E1932" w:rsidP="00AE2F36">
      <w:pPr>
        <w:pStyle w:val="KeinLeerraum"/>
        <w:ind w:left="2835"/>
        <w:jc w:val="both"/>
        <w:rPr>
          <w:iCs/>
          <w:sz w:val="24"/>
          <w:szCs w:val="24"/>
        </w:rPr>
      </w:pPr>
      <w:r w:rsidRPr="00C14E25">
        <w:rPr>
          <w:iCs/>
          <w:sz w:val="24"/>
          <w:szCs w:val="24"/>
        </w:rPr>
        <w:t xml:space="preserve">Wer sich im Vorfeld von einem Notar zu diesem Thema beraten lassen möchte, findet im Internet unter </w:t>
      </w:r>
      <w:hyperlink r:id="rId7" w:history="1">
        <w:r w:rsidR="007F1D35" w:rsidRPr="007F1D35">
          <w:rPr>
            <w:rStyle w:val="Hyperlink"/>
            <w:iCs/>
            <w:sz w:val="24"/>
            <w:szCs w:val="24"/>
          </w:rPr>
          <w:t>https://notar.de/</w:t>
        </w:r>
      </w:hyperlink>
      <w:r w:rsidRPr="00C14E25">
        <w:rPr>
          <w:iCs/>
          <w:sz w:val="24"/>
          <w:szCs w:val="24"/>
        </w:rPr>
        <w:t xml:space="preserve"> den richtigen Ansprechpartner. Besuchen Sie auch das Online-Verbraucherportal der Notarkammer unter </w:t>
      </w:r>
      <w:hyperlink r:id="rId8" w:history="1">
        <w:r w:rsidRPr="00FA0E29">
          <w:rPr>
            <w:rStyle w:val="Hyperlink"/>
            <w:iCs/>
            <w:sz w:val="24"/>
            <w:szCs w:val="24"/>
          </w:rPr>
          <w:t>https://ratgeber-notar.de</w:t>
        </w:r>
      </w:hyperlink>
      <w:r w:rsidR="007F1D35">
        <w:rPr>
          <w:rStyle w:val="Hyperlink"/>
          <w:iCs/>
          <w:sz w:val="24"/>
          <w:szCs w:val="24"/>
        </w:rPr>
        <w:t>/</w:t>
      </w:r>
      <w:r w:rsidRPr="00C14E25">
        <w:rPr>
          <w:iCs/>
          <w:sz w:val="24"/>
          <w:szCs w:val="24"/>
        </w:rPr>
        <w:t>.</w:t>
      </w:r>
    </w:p>
    <w:p w14:paraId="457B2480" w14:textId="77777777" w:rsidR="003E1932" w:rsidRPr="00975DA2" w:rsidRDefault="003E1932" w:rsidP="00AE2F36">
      <w:pPr>
        <w:pStyle w:val="KeinLeerraum"/>
        <w:ind w:left="2835"/>
        <w:jc w:val="both"/>
        <w:rPr>
          <w:sz w:val="24"/>
          <w:szCs w:val="24"/>
        </w:rPr>
      </w:pPr>
    </w:p>
    <w:p w14:paraId="5163683B" w14:textId="1DD87CD3" w:rsidR="0047364A" w:rsidRPr="00975DA2" w:rsidRDefault="0047364A" w:rsidP="00AE2F36">
      <w:pPr>
        <w:ind w:left="2835"/>
        <w:jc w:val="both"/>
        <w:rPr>
          <w:sz w:val="24"/>
          <w:szCs w:val="24"/>
        </w:rPr>
      </w:pPr>
      <w:r w:rsidRPr="00975DA2">
        <w:rPr>
          <w:sz w:val="24"/>
          <w:szCs w:val="24"/>
        </w:rPr>
        <w:t xml:space="preserve">Textumfang ca. </w:t>
      </w:r>
      <w:r w:rsidR="008167F9">
        <w:rPr>
          <w:sz w:val="24"/>
          <w:szCs w:val="24"/>
        </w:rPr>
        <w:t>4</w:t>
      </w:r>
      <w:r>
        <w:rPr>
          <w:sz w:val="24"/>
          <w:szCs w:val="24"/>
        </w:rPr>
        <w:t>.</w:t>
      </w:r>
      <w:r w:rsidR="000464A6">
        <w:rPr>
          <w:sz w:val="24"/>
          <w:szCs w:val="24"/>
        </w:rPr>
        <w:t>17</w:t>
      </w:r>
      <w:r w:rsidR="00B04EF7">
        <w:rPr>
          <w:sz w:val="24"/>
          <w:szCs w:val="24"/>
        </w:rPr>
        <w:t>2</w:t>
      </w:r>
      <w:bookmarkStart w:id="0" w:name="_GoBack"/>
      <w:bookmarkEnd w:id="0"/>
      <w:r w:rsidR="000464A6" w:rsidRPr="00975DA2">
        <w:rPr>
          <w:sz w:val="24"/>
          <w:szCs w:val="24"/>
        </w:rPr>
        <w:t xml:space="preserve"> </w:t>
      </w:r>
      <w:r w:rsidRPr="00975DA2">
        <w:rPr>
          <w:sz w:val="24"/>
          <w:szCs w:val="24"/>
        </w:rPr>
        <w:t>Zeichen inkl. Leerzeichen</w:t>
      </w:r>
    </w:p>
    <w:p w14:paraId="6DA2852F" w14:textId="77777777" w:rsidR="0047364A" w:rsidRPr="00430C64" w:rsidRDefault="0047364A" w:rsidP="00AE2F36">
      <w:pPr>
        <w:ind w:left="2835" w:right="28"/>
        <w:jc w:val="both"/>
        <w:rPr>
          <w:b/>
          <w:sz w:val="24"/>
          <w:szCs w:val="24"/>
        </w:rPr>
      </w:pPr>
    </w:p>
    <w:p w14:paraId="0EDC4F8B" w14:textId="77777777" w:rsidR="0047364A" w:rsidRPr="00430C64" w:rsidRDefault="0047364A" w:rsidP="00AE2F36">
      <w:pPr>
        <w:ind w:left="2835"/>
        <w:jc w:val="both"/>
        <w:rPr>
          <w:sz w:val="24"/>
          <w:szCs w:val="24"/>
        </w:rPr>
      </w:pPr>
      <w:r w:rsidRPr="00430C64">
        <w:rPr>
          <w:sz w:val="24"/>
          <w:szCs w:val="24"/>
        </w:rPr>
        <w:t>Redaktion und Ansprechpartner:</w:t>
      </w:r>
    </w:p>
    <w:p w14:paraId="34E43787" w14:textId="77777777" w:rsidR="0047364A" w:rsidRPr="00430C64" w:rsidRDefault="0047364A" w:rsidP="00AE2F36">
      <w:pPr>
        <w:ind w:left="2835"/>
        <w:jc w:val="both"/>
        <w:rPr>
          <w:sz w:val="24"/>
          <w:szCs w:val="24"/>
        </w:rPr>
      </w:pPr>
    </w:p>
    <w:p w14:paraId="3232FA14" w14:textId="77777777" w:rsidR="0047364A" w:rsidRPr="00FC1E19" w:rsidRDefault="0047364A" w:rsidP="00AE2F36">
      <w:pPr>
        <w:ind w:left="2835"/>
        <w:jc w:val="both"/>
        <w:rPr>
          <w:sz w:val="24"/>
          <w:szCs w:val="24"/>
        </w:rPr>
      </w:pPr>
      <w:r w:rsidRPr="00FC1E19">
        <w:rPr>
          <w:sz w:val="24"/>
          <w:szCs w:val="24"/>
        </w:rPr>
        <w:t>Azet</w:t>
      </w:r>
      <w:r w:rsidRPr="00FC1E19">
        <w:rPr>
          <w:b/>
          <w:sz w:val="24"/>
          <w:szCs w:val="24"/>
        </w:rPr>
        <w:t>PR</w:t>
      </w:r>
    </w:p>
    <w:p w14:paraId="68B0A868" w14:textId="77777777" w:rsidR="0047364A" w:rsidRPr="00FC1E19" w:rsidRDefault="0047364A" w:rsidP="00AE2F36">
      <w:pPr>
        <w:ind w:left="2835"/>
        <w:jc w:val="both"/>
        <w:rPr>
          <w:sz w:val="24"/>
          <w:szCs w:val="24"/>
        </w:rPr>
      </w:pPr>
      <w:r w:rsidRPr="00FC1E19">
        <w:rPr>
          <w:sz w:val="24"/>
          <w:szCs w:val="24"/>
        </w:rPr>
        <w:t>INTERNATIONAL PUBLIC RELATIONS GmbH</w:t>
      </w:r>
    </w:p>
    <w:p w14:paraId="5C398123" w14:textId="77777777" w:rsidR="0047364A" w:rsidRPr="00FC1E19" w:rsidRDefault="002C3D76" w:rsidP="00AE2F36">
      <w:pPr>
        <w:ind w:left="2835"/>
        <w:rPr>
          <w:sz w:val="24"/>
          <w:szCs w:val="24"/>
        </w:rPr>
      </w:pPr>
      <w:r w:rsidRPr="00FC1E19">
        <w:rPr>
          <w:sz w:val="24"/>
          <w:szCs w:val="24"/>
        </w:rPr>
        <w:t>Thomas Spengler</w:t>
      </w:r>
    </w:p>
    <w:p w14:paraId="251BF003" w14:textId="77777777" w:rsidR="0047364A" w:rsidRPr="00430C64" w:rsidRDefault="0047364A" w:rsidP="00AE2F36">
      <w:pPr>
        <w:ind w:left="2835"/>
        <w:rPr>
          <w:sz w:val="24"/>
          <w:szCs w:val="24"/>
        </w:rPr>
      </w:pPr>
      <w:proofErr w:type="spellStart"/>
      <w:r w:rsidRPr="00430C64">
        <w:rPr>
          <w:sz w:val="24"/>
          <w:szCs w:val="24"/>
        </w:rPr>
        <w:t>Wrangelstraße</w:t>
      </w:r>
      <w:proofErr w:type="spellEnd"/>
      <w:r w:rsidRPr="00430C64">
        <w:rPr>
          <w:sz w:val="24"/>
          <w:szCs w:val="24"/>
        </w:rPr>
        <w:t xml:space="preserve"> 111</w:t>
      </w:r>
      <w:r w:rsidRPr="00430C64">
        <w:rPr>
          <w:sz w:val="24"/>
          <w:szCs w:val="24"/>
        </w:rPr>
        <w:br/>
        <w:t>20253 Hamburg</w:t>
      </w:r>
      <w:r w:rsidRPr="00430C64">
        <w:rPr>
          <w:sz w:val="24"/>
          <w:szCs w:val="24"/>
        </w:rPr>
        <w:br/>
        <w:t>Telefon: 040/41 32 70-</w:t>
      </w:r>
      <w:r w:rsidR="002C3D76">
        <w:rPr>
          <w:sz w:val="24"/>
          <w:szCs w:val="24"/>
        </w:rPr>
        <w:t>21</w:t>
      </w:r>
      <w:r w:rsidRPr="00430C64">
        <w:rPr>
          <w:sz w:val="24"/>
          <w:szCs w:val="24"/>
        </w:rPr>
        <w:br/>
        <w:t>Fax: 040/41 3270-70</w:t>
      </w:r>
    </w:p>
    <w:p w14:paraId="3BD363D4" w14:textId="77777777" w:rsidR="0047364A" w:rsidRPr="00430C64" w:rsidRDefault="0047364A" w:rsidP="00AE2F36">
      <w:pPr>
        <w:ind w:left="2835"/>
        <w:rPr>
          <w:rStyle w:val="Hyperlink"/>
          <w:sz w:val="24"/>
          <w:szCs w:val="24"/>
        </w:rPr>
      </w:pPr>
      <w:r w:rsidRPr="00430C64">
        <w:rPr>
          <w:sz w:val="24"/>
          <w:szCs w:val="24"/>
        </w:rPr>
        <w:lastRenderedPageBreak/>
        <w:t xml:space="preserve">E-Mail: </w:t>
      </w:r>
      <w:hyperlink r:id="rId9" w:history="1">
        <w:r w:rsidR="002C3D76">
          <w:rPr>
            <w:rStyle w:val="Hyperlink"/>
            <w:sz w:val="24"/>
            <w:szCs w:val="24"/>
          </w:rPr>
          <w:t>spengler@azetpr.com</w:t>
        </w:r>
      </w:hyperlink>
    </w:p>
    <w:p w14:paraId="7F8AC85E" w14:textId="56268416" w:rsidR="003F3ACE" w:rsidRPr="003E1932" w:rsidRDefault="00B04EF7" w:rsidP="00AE2F36">
      <w:pPr>
        <w:ind w:left="2835"/>
        <w:rPr>
          <w:sz w:val="24"/>
          <w:szCs w:val="24"/>
        </w:rPr>
      </w:pPr>
      <w:hyperlink r:id="rId10" w:history="1">
        <w:r w:rsidR="0047364A" w:rsidRPr="00AC200D">
          <w:rPr>
            <w:rStyle w:val="Hyperlink"/>
            <w:sz w:val="24"/>
            <w:szCs w:val="24"/>
          </w:rPr>
          <w:t>www.azetpr.com</w:t>
        </w:r>
      </w:hyperlink>
    </w:p>
    <w:sectPr w:rsidR="003F3ACE" w:rsidRPr="003E1932" w:rsidSect="000E335F">
      <w:headerReference w:type="first" r:id="rId11"/>
      <w:pgSz w:w="11906" w:h="16838"/>
      <w:pgMar w:top="1417" w:right="1417" w:bottom="1134" w:left="1417" w:header="624" w:footer="34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78452" w16cex:dateUtc="2023-11-09T15: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F8BB5" w14:textId="77777777" w:rsidR="004F605B" w:rsidRDefault="004F605B">
      <w:r>
        <w:separator/>
      </w:r>
    </w:p>
  </w:endnote>
  <w:endnote w:type="continuationSeparator" w:id="0">
    <w:p w14:paraId="03631919" w14:textId="77777777" w:rsidR="004F605B" w:rsidRDefault="004F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53365" w14:textId="77777777" w:rsidR="004F605B" w:rsidRDefault="004F605B">
      <w:r>
        <w:separator/>
      </w:r>
    </w:p>
  </w:footnote>
  <w:footnote w:type="continuationSeparator" w:id="0">
    <w:p w14:paraId="2225223F" w14:textId="77777777" w:rsidR="004F605B" w:rsidRDefault="004F6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9833D" w14:textId="77777777" w:rsidR="000E335F" w:rsidRPr="000E335F" w:rsidRDefault="00B04EF7" w:rsidP="000E335F">
    <w:pPr>
      <w:tabs>
        <w:tab w:val="center" w:pos="4536"/>
        <w:tab w:val="right" w:pos="9072"/>
      </w:tabs>
      <w:overflowPunct/>
      <w:autoSpaceDE/>
      <w:autoSpaceDN/>
      <w:adjustRightInd/>
      <w:textAlignment w:val="auto"/>
      <w:rPr>
        <w:rFonts w:ascii="Calibri" w:eastAsia="Calibri" w:hAnsi="Calibri"/>
        <w:sz w:val="22"/>
        <w:szCs w:val="22"/>
        <w:lang w:eastAsia="en-US"/>
      </w:rPr>
    </w:pPr>
  </w:p>
  <w:p w14:paraId="0B7CA650" w14:textId="77777777" w:rsidR="000E335F" w:rsidRPr="000E335F" w:rsidRDefault="00B04EF7" w:rsidP="000E335F">
    <w:pPr>
      <w:tabs>
        <w:tab w:val="center" w:pos="4536"/>
        <w:tab w:val="right" w:pos="9072"/>
      </w:tabs>
      <w:overflowPunct/>
      <w:autoSpaceDE/>
      <w:autoSpaceDN/>
      <w:adjustRightInd/>
      <w:textAlignment w:val="auto"/>
      <w:rPr>
        <w:rFonts w:ascii="Calibri" w:eastAsia="Calibri" w:hAnsi="Calibri"/>
        <w:sz w:val="22"/>
        <w:szCs w:val="22"/>
        <w:lang w:eastAsia="en-US"/>
      </w:rPr>
    </w:pPr>
  </w:p>
  <w:p w14:paraId="4804F4CC" w14:textId="77777777" w:rsidR="00B25DDF" w:rsidRPr="00B25DDF" w:rsidRDefault="00FD4E2E" w:rsidP="00B25DDF">
    <w:pPr>
      <w:tabs>
        <w:tab w:val="center" w:pos="4536"/>
        <w:tab w:val="right" w:pos="9072"/>
      </w:tabs>
      <w:overflowPunct/>
      <w:autoSpaceDE/>
      <w:autoSpaceDN/>
      <w:adjustRightInd/>
      <w:ind w:hanging="3544"/>
      <w:jc w:val="center"/>
      <w:textAlignment w:val="auto"/>
      <w:rPr>
        <w:rFonts w:ascii="Verdana" w:eastAsia="Calibri" w:hAnsi="Verdana"/>
        <w:b/>
        <w:caps/>
        <w:sz w:val="24"/>
        <w:szCs w:val="24"/>
        <w:lang w:eastAsia="en-US"/>
      </w:rPr>
    </w:pPr>
    <w:r w:rsidRPr="00B25DDF">
      <w:rPr>
        <w:rFonts w:ascii="Verdana" w:eastAsia="Calibri" w:hAnsi="Verdana"/>
        <w:b/>
        <w:caps/>
        <w:sz w:val="24"/>
        <w:szCs w:val="24"/>
        <w:lang w:eastAsia="en-US"/>
      </w:rPr>
      <w:t>Schleswig-Holsteinische Notarkammer</w:t>
    </w:r>
  </w:p>
  <w:p w14:paraId="0130169F" w14:textId="77777777" w:rsidR="000E335F" w:rsidRPr="000E335F" w:rsidRDefault="00B04EF7" w:rsidP="000E335F">
    <w:pPr>
      <w:tabs>
        <w:tab w:val="center" w:pos="4536"/>
        <w:tab w:val="right" w:pos="9072"/>
      </w:tabs>
      <w:overflowPunct/>
      <w:autoSpaceDE/>
      <w:autoSpaceDN/>
      <w:adjustRightInd/>
      <w:textAlignment w:val="auto"/>
      <w:rPr>
        <w:rFonts w:ascii="Calibri" w:eastAsia="Calibri" w:hAnsi="Calibri"/>
        <w:sz w:val="22"/>
        <w:szCs w:val="22"/>
        <w:lang w:eastAsia="en-US"/>
      </w:rPr>
    </w:pPr>
  </w:p>
  <w:p w14:paraId="2CE08371" w14:textId="77777777" w:rsidR="000E335F" w:rsidRPr="000E335F" w:rsidRDefault="00B04EF7" w:rsidP="000E335F">
    <w:pPr>
      <w:tabs>
        <w:tab w:val="center" w:pos="4536"/>
        <w:tab w:val="right" w:pos="9072"/>
      </w:tabs>
      <w:overflowPunct/>
      <w:autoSpaceDE/>
      <w:autoSpaceDN/>
      <w:adjustRightInd/>
      <w:textAlignment w:val="auto"/>
      <w:rPr>
        <w:rFonts w:ascii="Calibri" w:eastAsia="Calibri" w:hAnsi="Calibri"/>
        <w:sz w:val="22"/>
        <w:szCs w:val="22"/>
        <w:lang w:eastAsia="en-US"/>
      </w:rPr>
    </w:pPr>
  </w:p>
  <w:p w14:paraId="3C1F49F0" w14:textId="77777777" w:rsidR="000E335F" w:rsidRPr="000E335F" w:rsidRDefault="00FD4E2E" w:rsidP="004A5578">
    <w:pPr>
      <w:tabs>
        <w:tab w:val="center" w:pos="4536"/>
        <w:tab w:val="right" w:pos="9072"/>
      </w:tabs>
      <w:overflowPunct/>
      <w:autoSpaceDE/>
      <w:autoSpaceDN/>
      <w:adjustRightInd/>
      <w:jc w:val="right"/>
      <w:textAlignment w:val="auto"/>
      <w:rPr>
        <w:rFonts w:eastAsia="Calibri"/>
        <w:sz w:val="26"/>
        <w:szCs w:val="22"/>
        <w:lang w:eastAsia="en-US"/>
      </w:rPr>
    </w:pPr>
    <w:r w:rsidRPr="000E335F">
      <w:rPr>
        <w:rFonts w:eastAsia="Calibri"/>
        <w:sz w:val="26"/>
        <w:szCs w:val="22"/>
        <w:lang w:eastAsia="en-US"/>
      </w:rPr>
      <w:t>PRESSEMITTEILUNG</w:t>
    </w:r>
  </w:p>
  <w:p w14:paraId="176450E6" w14:textId="77777777" w:rsidR="000E335F" w:rsidRPr="000E335F" w:rsidRDefault="00FD4E2E" w:rsidP="000E335F">
    <w:pPr>
      <w:tabs>
        <w:tab w:val="center" w:pos="4536"/>
        <w:tab w:val="right" w:pos="9072"/>
      </w:tabs>
      <w:overflowPunct/>
      <w:autoSpaceDE/>
      <w:autoSpaceDN/>
      <w:adjustRightInd/>
      <w:textAlignment w:val="auto"/>
      <w:rPr>
        <w:rFonts w:ascii="Calibri" w:eastAsia="Calibri" w:hAnsi="Calibri"/>
        <w:sz w:val="22"/>
        <w:szCs w:val="22"/>
        <w:lang w:eastAsia="en-US"/>
      </w:rPr>
    </w:pPr>
    <w:r>
      <w:rPr>
        <w:rFonts w:ascii="Calibri" w:eastAsia="Calibri" w:hAnsi="Calibri"/>
        <w:noProof/>
        <w:sz w:val="22"/>
        <w:szCs w:val="22"/>
      </w:rPr>
      <mc:AlternateContent>
        <mc:Choice Requires="wps">
          <w:drawing>
            <wp:anchor distT="0" distB="0" distL="114300" distR="114300" simplePos="0" relativeHeight="251659264" behindDoc="0" locked="0" layoutInCell="0" allowOverlap="1" wp14:anchorId="7FDAC29B" wp14:editId="0668AC1F">
              <wp:simplePos x="0" y="0"/>
              <wp:positionH relativeFrom="page">
                <wp:posOffset>6660515</wp:posOffset>
              </wp:positionH>
              <wp:positionV relativeFrom="page">
                <wp:posOffset>977900</wp:posOffset>
              </wp:positionV>
              <wp:extent cx="899795" cy="146050"/>
              <wp:effectExtent l="0" t="0" r="0" b="0"/>
              <wp:wrapNone/>
              <wp:docPr id="476" name="Textfeld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6050"/>
                      </a:xfrm>
                      <a:prstGeom prst="rect">
                        <a:avLst/>
                      </a:prstGeom>
                      <a:noFill/>
                    </wps:spPr>
                    <wps:txbx>
                      <w:txbxContent>
                        <w:p w14:paraId="789FE5D1" w14:textId="77777777" w:rsidR="000E335F" w:rsidRPr="008F5FE5" w:rsidRDefault="00B04EF7" w:rsidP="000E335F">
                          <w:pPr>
                            <w:ind w:left="-284"/>
                            <w:rPr>
                              <w:color w:val="FFFFFF"/>
                            </w:rPr>
                          </w:pP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type w14:anchorId="7FDAC29B" id="_x0000_t202" coordsize="21600,21600" o:spt="202" path="m,l,21600r21600,l21600,xe">
              <v:stroke joinstyle="miter"/>
              <v:path gradientshapeok="t" o:connecttype="rect"/>
            </v:shapetype>
            <v:shape id="Textfeld 476" o:spid="_x0000_s1026" type="#_x0000_t202" style="position:absolute;margin-left:524.45pt;margin-top:77pt;width:70.85pt;height: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lV6gEAAKsDAAAOAAAAZHJzL2Uyb0RvYy54bWysU9tu2zAMfR+wfxD0vjgp0rQx4hRdiwwD&#10;ugvQ9gMYWY6F2aJGKbGzrx8lx1mwvRV7ESSKOjznkFrd9W0jDpq8QVvI2WQqhbYKS2N3hXx92Xy4&#10;lcIHsCU0aHUhj9rLu/X7d6vO5foKa2xKTYJBrM87V8g6BJdnmVe1bsFP0GnLlxVSC4GPtMtKgo7R&#10;2ya7mk4XWYdUOkKlvefo43Ap1wm/qrQK36rK6yCaQjK3kFZK6zau2XoF+Y7A1UadaMAbWLRgLBc9&#10;Qz1CALEn8w9UaxShxypMFLYZVpVROmlgNbPpX2qea3A6aWFzvDvb5P8frPp6+E7ClIWc3yyksNBy&#10;k150HyrdlCLG2KHO+ZwTnx2nhv4j9tzppNa7J1Q/vLD4UIPd6Xsi7GoNJTOcxZfZxdMBx0eQbfcF&#10;Sy4E+4AJqK+ojfaxIYLRuVPHc3eYjFAcvF0ub5bXUii+ms0X0+vUvQzy8bEjHz5pbEXcFJK4+Qkc&#10;Dk8+RDKQjymxlsWNaZqRZOQ1MAz9tj+J3mJ5ZLqEw9zwnPOmRvolRcczU0j/cw+kpWg+W5a8nM3n&#10;ccjSgTd0Gd2OUbCKIQqpAkkxHB7CMJJ7R2ZXc43R3ns2aGMS+ejkwOdkK09E0nSa3jhyl+eU9eeP&#10;rX8DAAD//wMAUEsDBBQABgAIAAAAIQAE2MMQ3wAAAA0BAAAPAAAAZHJzL2Rvd25yZXYueG1sTI/B&#10;TsMwEETvSPyDtUjcqF0oaRriVAjRA6IXSrm78ZJE2OsodtrA17M9wW1G+zQ7U64n78QRh9gF0jCf&#10;KRBIdbAdNRr275ubHERMhqxxgVDDN0ZYV5cXpSlsONEbHnepERxCsTAa2pT6QspYt+hNnIUeiW+f&#10;YfAmsR0aaQdz4nDv5K1SmfSmI/7Qmh6fWqy/dqPX8Dyqvd+mOwovr7LJ6cd12cdG6+ur6fEBRMIp&#10;/cFwrs/VoeJOhzCSjcKxV4t8xSyr+wWvOiPzlcpAHFgtlwpkVcr/K6pfAAAA//8DAFBLAQItABQA&#10;BgAIAAAAIQC2gziS/gAAAOEBAAATAAAAAAAAAAAAAAAAAAAAAABbQ29udGVudF9UeXBlc10ueG1s&#10;UEsBAi0AFAAGAAgAAAAhADj9If/WAAAAlAEAAAsAAAAAAAAAAAAAAAAALwEAAF9yZWxzLy5yZWxz&#10;UEsBAi0AFAAGAAgAAAAhAJ61yVXqAQAAqwMAAA4AAAAAAAAAAAAAAAAALgIAAGRycy9lMm9Eb2Mu&#10;eG1sUEsBAi0AFAAGAAgAAAAhAATYwxDfAAAADQEAAA8AAAAAAAAAAAAAAAAARAQAAGRycy9kb3du&#10;cmV2LnhtbFBLBQYAAAAABAAEAPMAAABQBQAAAAA=&#10;" o:allowincell="f" filled="f" stroked="f">
              <v:textbox style="mso-fit-shape-to-text:t" inset=",0,,0">
                <w:txbxContent>
                  <w:p w14:paraId="789FE5D1" w14:textId="77777777" w:rsidR="000E335F" w:rsidRPr="008F5FE5" w:rsidRDefault="00487C38" w:rsidP="000E335F">
                    <w:pPr>
                      <w:ind w:left="-284"/>
                      <w:rPr>
                        <w:color w:val="FFFFFF"/>
                      </w:rPr>
                    </w:pPr>
                  </w:p>
                </w:txbxContent>
              </v:textbox>
              <w10:wrap anchorx="page" anchory="page"/>
            </v:shape>
          </w:pict>
        </mc:Fallback>
      </mc:AlternateContent>
    </w:r>
  </w:p>
  <w:p w14:paraId="7E80351C" w14:textId="77777777" w:rsidR="000E335F" w:rsidRDefault="00B04E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F5B18"/>
    <w:multiLevelType w:val="hybridMultilevel"/>
    <w:tmpl w:val="451CBD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274/23"/>
    <w:docVar w:name="Bemerkung" w:val="Textbeitrag zum Notvertretungsrecht für Ehepartner"/>
    <w:docVar w:name="DDNr" w:val="D3/D435-23"/>
    <w:docVar w:name="DDNummerPH" w:val="fehlt"/>
    <w:docVar w:name="dgnword-docGUID" w:val="{C812D176-A72C-4EDE-90A5-78DBA8635570}"/>
    <w:docVar w:name="dgnword-drafile" w:val="C:\Users\CARSTE~1.WRI\AppData\Local\Temp\draD5E2.tmp"/>
    <w:docVar w:name="dgnword-eventsink" w:val="452823528"/>
    <w:docVar w:name="DMSunterordner" w:val="181349"/>
    <w:docVar w:name="EAStatus" w:val="0"/>
    <w:docVar w:name="RADKS" w:val="#;$a;@"/>
    <w:docVar w:name="Rubrik" w:val="solleer"/>
    <w:docVar w:name="Schlagwort" w:val="solleer"/>
  </w:docVars>
  <w:rsids>
    <w:rsidRoot w:val="009747B1"/>
    <w:rsid w:val="000249ED"/>
    <w:rsid w:val="000464A6"/>
    <w:rsid w:val="00057161"/>
    <w:rsid w:val="000669FD"/>
    <w:rsid w:val="00081250"/>
    <w:rsid w:val="00082061"/>
    <w:rsid w:val="000B3E4D"/>
    <w:rsid w:val="000C23DB"/>
    <w:rsid w:val="000D0C36"/>
    <w:rsid w:val="000D6FA1"/>
    <w:rsid w:val="000F11A1"/>
    <w:rsid w:val="0011696F"/>
    <w:rsid w:val="00146E12"/>
    <w:rsid w:val="00147FE6"/>
    <w:rsid w:val="001635A1"/>
    <w:rsid w:val="001664A2"/>
    <w:rsid w:val="001B3BF3"/>
    <w:rsid w:val="001B7656"/>
    <w:rsid w:val="001D33A7"/>
    <w:rsid w:val="001E3313"/>
    <w:rsid w:val="001F589D"/>
    <w:rsid w:val="00214CEB"/>
    <w:rsid w:val="00215286"/>
    <w:rsid w:val="00217E34"/>
    <w:rsid w:val="00247F1A"/>
    <w:rsid w:val="002572B0"/>
    <w:rsid w:val="002611BE"/>
    <w:rsid w:val="0027119F"/>
    <w:rsid w:val="0027753D"/>
    <w:rsid w:val="002844A4"/>
    <w:rsid w:val="002A14BD"/>
    <w:rsid w:val="002B0DE7"/>
    <w:rsid w:val="002C0415"/>
    <w:rsid w:val="002C3D76"/>
    <w:rsid w:val="002F4AB9"/>
    <w:rsid w:val="002F63BD"/>
    <w:rsid w:val="00311A96"/>
    <w:rsid w:val="00317A31"/>
    <w:rsid w:val="003308F4"/>
    <w:rsid w:val="00382EC0"/>
    <w:rsid w:val="00383982"/>
    <w:rsid w:val="003946F3"/>
    <w:rsid w:val="00394734"/>
    <w:rsid w:val="00395981"/>
    <w:rsid w:val="003B6BE9"/>
    <w:rsid w:val="003C0365"/>
    <w:rsid w:val="003C4130"/>
    <w:rsid w:val="003D1122"/>
    <w:rsid w:val="003E1932"/>
    <w:rsid w:val="003F3ACE"/>
    <w:rsid w:val="004023BD"/>
    <w:rsid w:val="004038A8"/>
    <w:rsid w:val="00422476"/>
    <w:rsid w:val="00440106"/>
    <w:rsid w:val="0047364A"/>
    <w:rsid w:val="004851DD"/>
    <w:rsid w:val="00487C38"/>
    <w:rsid w:val="004922B6"/>
    <w:rsid w:val="004A5045"/>
    <w:rsid w:val="004C329F"/>
    <w:rsid w:val="004D287E"/>
    <w:rsid w:val="004E33DE"/>
    <w:rsid w:val="004F3930"/>
    <w:rsid w:val="004F605B"/>
    <w:rsid w:val="005002CE"/>
    <w:rsid w:val="00507F90"/>
    <w:rsid w:val="00555C20"/>
    <w:rsid w:val="00557778"/>
    <w:rsid w:val="00595BE8"/>
    <w:rsid w:val="005B7173"/>
    <w:rsid w:val="005C00D3"/>
    <w:rsid w:val="005C0623"/>
    <w:rsid w:val="005C09B5"/>
    <w:rsid w:val="005D240E"/>
    <w:rsid w:val="005D24DF"/>
    <w:rsid w:val="005F002B"/>
    <w:rsid w:val="0060467C"/>
    <w:rsid w:val="006051EC"/>
    <w:rsid w:val="0062387E"/>
    <w:rsid w:val="00625F49"/>
    <w:rsid w:val="0063072B"/>
    <w:rsid w:val="006511D6"/>
    <w:rsid w:val="006849AF"/>
    <w:rsid w:val="00685B21"/>
    <w:rsid w:val="00691C47"/>
    <w:rsid w:val="0069445B"/>
    <w:rsid w:val="006C181D"/>
    <w:rsid w:val="006D093B"/>
    <w:rsid w:val="00712FE9"/>
    <w:rsid w:val="007213AE"/>
    <w:rsid w:val="00723EA5"/>
    <w:rsid w:val="007366F1"/>
    <w:rsid w:val="00742A9D"/>
    <w:rsid w:val="0074738D"/>
    <w:rsid w:val="00753411"/>
    <w:rsid w:val="00757403"/>
    <w:rsid w:val="007812DC"/>
    <w:rsid w:val="007B1615"/>
    <w:rsid w:val="007D0C65"/>
    <w:rsid w:val="007D3939"/>
    <w:rsid w:val="007D4BC2"/>
    <w:rsid w:val="007F1D35"/>
    <w:rsid w:val="008167F9"/>
    <w:rsid w:val="008277CC"/>
    <w:rsid w:val="00834CC7"/>
    <w:rsid w:val="00847435"/>
    <w:rsid w:val="008528D4"/>
    <w:rsid w:val="00867A30"/>
    <w:rsid w:val="00887677"/>
    <w:rsid w:val="00897336"/>
    <w:rsid w:val="008B0017"/>
    <w:rsid w:val="008B0E43"/>
    <w:rsid w:val="008F51F6"/>
    <w:rsid w:val="00927D7E"/>
    <w:rsid w:val="009747B1"/>
    <w:rsid w:val="009776D9"/>
    <w:rsid w:val="00985866"/>
    <w:rsid w:val="009A2029"/>
    <w:rsid w:val="009B73DA"/>
    <w:rsid w:val="009C6193"/>
    <w:rsid w:val="009C61DF"/>
    <w:rsid w:val="009D4749"/>
    <w:rsid w:val="009F2C70"/>
    <w:rsid w:val="00A42EAF"/>
    <w:rsid w:val="00A5222A"/>
    <w:rsid w:val="00A56C18"/>
    <w:rsid w:val="00A82D54"/>
    <w:rsid w:val="00A959DD"/>
    <w:rsid w:val="00AC1DAE"/>
    <w:rsid w:val="00AD3FC7"/>
    <w:rsid w:val="00AD6B97"/>
    <w:rsid w:val="00AE2F36"/>
    <w:rsid w:val="00AE7362"/>
    <w:rsid w:val="00B04EF7"/>
    <w:rsid w:val="00B12D57"/>
    <w:rsid w:val="00B317F1"/>
    <w:rsid w:val="00B535F7"/>
    <w:rsid w:val="00B578B3"/>
    <w:rsid w:val="00B703F9"/>
    <w:rsid w:val="00B911FD"/>
    <w:rsid w:val="00B9211A"/>
    <w:rsid w:val="00BB5F4D"/>
    <w:rsid w:val="00BB6418"/>
    <w:rsid w:val="00BF4C0D"/>
    <w:rsid w:val="00C10350"/>
    <w:rsid w:val="00C37A60"/>
    <w:rsid w:val="00C514A1"/>
    <w:rsid w:val="00C669CA"/>
    <w:rsid w:val="00C72418"/>
    <w:rsid w:val="00C838E8"/>
    <w:rsid w:val="00C924D8"/>
    <w:rsid w:val="00CA0FED"/>
    <w:rsid w:val="00CC74FC"/>
    <w:rsid w:val="00CD5B97"/>
    <w:rsid w:val="00CE3CBC"/>
    <w:rsid w:val="00CF18B0"/>
    <w:rsid w:val="00D14F6F"/>
    <w:rsid w:val="00D27B7D"/>
    <w:rsid w:val="00D334E9"/>
    <w:rsid w:val="00D50CD7"/>
    <w:rsid w:val="00D526A4"/>
    <w:rsid w:val="00DA49B2"/>
    <w:rsid w:val="00DC0709"/>
    <w:rsid w:val="00DE0821"/>
    <w:rsid w:val="00E03418"/>
    <w:rsid w:val="00E134B0"/>
    <w:rsid w:val="00E164C3"/>
    <w:rsid w:val="00E41A9C"/>
    <w:rsid w:val="00E43482"/>
    <w:rsid w:val="00E441B3"/>
    <w:rsid w:val="00E44582"/>
    <w:rsid w:val="00E44635"/>
    <w:rsid w:val="00E52D6C"/>
    <w:rsid w:val="00E66583"/>
    <w:rsid w:val="00E8526A"/>
    <w:rsid w:val="00EE4B8B"/>
    <w:rsid w:val="00EE5F1F"/>
    <w:rsid w:val="00EF0F94"/>
    <w:rsid w:val="00EF3A5F"/>
    <w:rsid w:val="00F55668"/>
    <w:rsid w:val="00F5667D"/>
    <w:rsid w:val="00F7726D"/>
    <w:rsid w:val="00F9191E"/>
    <w:rsid w:val="00FA66D7"/>
    <w:rsid w:val="00FB4427"/>
    <w:rsid w:val="00FB7177"/>
    <w:rsid w:val="00FC1E19"/>
    <w:rsid w:val="00FD4E2E"/>
    <w:rsid w:val="00FF0A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ABE9"/>
  <w15:chartTrackingRefBased/>
  <w15:docId w15:val="{7219D18C-8C7E-45DA-BC40-B88158AF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736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364A"/>
    <w:pPr>
      <w:tabs>
        <w:tab w:val="center" w:pos="4536"/>
        <w:tab w:val="right" w:pos="9072"/>
      </w:tabs>
      <w:overflowPunct/>
      <w:autoSpaceDE/>
      <w:autoSpaceDN/>
      <w:adjustRightInd/>
      <w:textAlignment w:val="auto"/>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rsid w:val="0047364A"/>
    <w:rPr>
      <w:rFonts w:ascii="Calibri" w:eastAsia="Calibri" w:hAnsi="Calibri" w:cs="Times New Roman"/>
    </w:rPr>
  </w:style>
  <w:style w:type="character" w:styleId="Hyperlink">
    <w:name w:val="Hyperlink"/>
    <w:unhideWhenUsed/>
    <w:rsid w:val="0047364A"/>
    <w:rPr>
      <w:color w:val="0000FF"/>
      <w:u w:val="single"/>
    </w:rPr>
  </w:style>
  <w:style w:type="paragraph" w:styleId="KeinLeerraum">
    <w:name w:val="No Spacing"/>
    <w:basedOn w:val="Standard"/>
    <w:uiPriority w:val="1"/>
    <w:qFormat/>
    <w:rsid w:val="0047364A"/>
    <w:pPr>
      <w:adjustRightInd/>
      <w:textAlignment w:val="auto"/>
    </w:pPr>
    <w:rPr>
      <w:rFonts w:eastAsia="Calibri"/>
    </w:rPr>
  </w:style>
  <w:style w:type="character" w:styleId="NichtaufgelsteErwhnung">
    <w:name w:val="Unresolved Mention"/>
    <w:basedOn w:val="Absatz-Standardschriftart"/>
    <w:uiPriority w:val="99"/>
    <w:semiHidden/>
    <w:unhideWhenUsed/>
    <w:rsid w:val="006D093B"/>
    <w:rPr>
      <w:color w:val="605E5C"/>
      <w:shd w:val="clear" w:color="auto" w:fill="E1DFDD"/>
    </w:rPr>
  </w:style>
  <w:style w:type="character" w:styleId="Kommentarzeichen">
    <w:name w:val="annotation reference"/>
    <w:basedOn w:val="Absatz-Standardschriftart"/>
    <w:uiPriority w:val="99"/>
    <w:semiHidden/>
    <w:unhideWhenUsed/>
    <w:rsid w:val="000249ED"/>
    <w:rPr>
      <w:sz w:val="16"/>
      <w:szCs w:val="16"/>
    </w:rPr>
  </w:style>
  <w:style w:type="paragraph" w:styleId="Kommentartext">
    <w:name w:val="annotation text"/>
    <w:basedOn w:val="Standard"/>
    <w:link w:val="KommentartextZchn"/>
    <w:uiPriority w:val="99"/>
    <w:unhideWhenUsed/>
    <w:rsid w:val="000249ED"/>
  </w:style>
  <w:style w:type="character" w:customStyle="1" w:styleId="KommentartextZchn">
    <w:name w:val="Kommentartext Zchn"/>
    <w:basedOn w:val="Absatz-Standardschriftart"/>
    <w:link w:val="Kommentartext"/>
    <w:uiPriority w:val="99"/>
    <w:rsid w:val="000249ED"/>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249ED"/>
    <w:rPr>
      <w:b/>
      <w:bCs/>
    </w:rPr>
  </w:style>
  <w:style w:type="character" w:customStyle="1" w:styleId="KommentarthemaZchn">
    <w:name w:val="Kommentarthema Zchn"/>
    <w:basedOn w:val="KommentartextZchn"/>
    <w:link w:val="Kommentarthema"/>
    <w:uiPriority w:val="99"/>
    <w:semiHidden/>
    <w:rsid w:val="000249ED"/>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0249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49ED"/>
    <w:rPr>
      <w:rFonts w:ascii="Segoe UI" w:eastAsia="Times New Roman" w:hAnsi="Segoe UI" w:cs="Segoe UI"/>
      <w:sz w:val="18"/>
      <w:szCs w:val="18"/>
      <w:lang w:eastAsia="de-DE"/>
    </w:rPr>
  </w:style>
  <w:style w:type="paragraph" w:styleId="Listenabsatz">
    <w:name w:val="List Paragraph"/>
    <w:basedOn w:val="Standard"/>
    <w:uiPriority w:val="34"/>
    <w:qFormat/>
    <w:rsid w:val="00EF0F94"/>
    <w:pPr>
      <w:overflowPunct/>
      <w:autoSpaceDE/>
      <w:autoSpaceDN/>
      <w:adjustRightInd/>
      <w:spacing w:after="200" w:line="276" w:lineRule="auto"/>
      <w:ind w:left="720"/>
      <w:contextualSpacing/>
      <w:textAlignment w:val="auto"/>
    </w:pPr>
    <w:rPr>
      <w:rFonts w:ascii="Arial" w:eastAsiaTheme="minorHAnsi" w:hAnsi="Arial" w:cs="Arial"/>
      <w:sz w:val="22"/>
      <w:szCs w:val="22"/>
      <w:lang w:eastAsia="en-US"/>
    </w:rPr>
  </w:style>
  <w:style w:type="character" w:styleId="BesuchterLink">
    <w:name w:val="FollowedHyperlink"/>
    <w:basedOn w:val="Absatz-Standardschriftart"/>
    <w:uiPriority w:val="99"/>
    <w:semiHidden/>
    <w:unhideWhenUsed/>
    <w:rsid w:val="00081250"/>
    <w:rPr>
      <w:color w:val="800080" w:themeColor="followedHyperlink"/>
      <w:u w:val="single"/>
    </w:rPr>
  </w:style>
  <w:style w:type="paragraph" w:styleId="berarbeitung">
    <w:name w:val="Revision"/>
    <w:hidden/>
    <w:uiPriority w:val="99"/>
    <w:semiHidden/>
    <w:rsid w:val="00897336"/>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geber-notar.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otar.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yperlink" Target="https://www.azetpr.com/" TargetMode="External"/><Relationship Id="rId4" Type="http://schemas.openxmlformats.org/officeDocument/2006/relationships/webSettings" Target="webSettings.xml"/><Relationship Id="rId9" Type="http://schemas.openxmlformats.org/officeDocument/2006/relationships/hyperlink" Target="mailto:spengler@azetp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4097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Spengler</dc:creator>
  <cp:keywords/>
  <dc:description/>
  <cp:lastModifiedBy>Spengler, Thomas</cp:lastModifiedBy>
  <cp:revision>40</cp:revision>
  <cp:lastPrinted>2024-04-08T09:21:00Z</cp:lastPrinted>
  <dcterms:created xsi:type="dcterms:W3CDTF">2023-06-20T10:05:00Z</dcterms:created>
  <dcterms:modified xsi:type="dcterms:W3CDTF">2024-04-08T09:21:00Z</dcterms:modified>
</cp:coreProperties>
</file>