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01E8" w14:textId="77777777" w:rsidR="00F63489" w:rsidRPr="00F63489" w:rsidRDefault="00F63489" w:rsidP="00F63489">
      <w:pPr>
        <w:pStyle w:val="KeinLeerraum"/>
        <w:ind w:left="2835"/>
        <w:jc w:val="both"/>
        <w:rPr>
          <w:b/>
          <w:sz w:val="24"/>
          <w:szCs w:val="24"/>
        </w:rPr>
      </w:pPr>
      <w:r w:rsidRPr="00F63489">
        <w:rPr>
          <w:b/>
          <w:sz w:val="24"/>
          <w:szCs w:val="24"/>
        </w:rPr>
        <w:t>Ehepaare ohne Kinder</w:t>
      </w:r>
    </w:p>
    <w:p w14:paraId="09B36A4E" w14:textId="77777777" w:rsidR="00F63489" w:rsidRPr="00F63489" w:rsidRDefault="00F63489" w:rsidP="00F63489">
      <w:pPr>
        <w:tabs>
          <w:tab w:val="left" w:pos="1728"/>
        </w:tabs>
        <w:ind w:left="2835"/>
        <w:rPr>
          <w:rFonts w:eastAsia="Calibri"/>
          <w:b/>
          <w:sz w:val="24"/>
          <w:szCs w:val="24"/>
        </w:rPr>
      </w:pPr>
      <w:r w:rsidRPr="00F63489">
        <w:rPr>
          <w:rFonts w:eastAsia="Calibri"/>
          <w:b/>
          <w:sz w:val="24"/>
          <w:szCs w:val="24"/>
        </w:rPr>
        <w:t>Vorausschauend über das Erbe bestimmen</w:t>
      </w:r>
    </w:p>
    <w:p w14:paraId="36ABF855" w14:textId="77777777" w:rsidR="0047364A" w:rsidRPr="00975DA2" w:rsidRDefault="0047364A" w:rsidP="0047364A">
      <w:pPr>
        <w:tabs>
          <w:tab w:val="left" w:pos="1728"/>
        </w:tabs>
        <w:ind w:left="2835"/>
        <w:rPr>
          <w:b/>
          <w:sz w:val="24"/>
          <w:szCs w:val="24"/>
        </w:rPr>
      </w:pPr>
    </w:p>
    <w:p w14:paraId="678AD543" w14:textId="30C8F1E0" w:rsidR="00810DD5" w:rsidRDefault="00BA1908" w:rsidP="00810DD5">
      <w:pPr>
        <w:pStyle w:val="KeinLeerraum"/>
        <w:ind w:left="2835"/>
        <w:jc w:val="both"/>
        <w:rPr>
          <w:iCs/>
          <w:sz w:val="24"/>
          <w:szCs w:val="24"/>
        </w:rPr>
      </w:pPr>
      <w:r>
        <w:rPr>
          <w:i/>
          <w:iCs/>
          <w:sz w:val="24"/>
          <w:szCs w:val="24"/>
        </w:rPr>
        <w:t>Notarkammer Celle.</w:t>
      </w:r>
      <w:r w:rsidR="00D27520">
        <w:rPr>
          <w:iCs/>
          <w:sz w:val="24"/>
          <w:szCs w:val="24"/>
        </w:rPr>
        <w:t xml:space="preserve"> </w:t>
      </w:r>
      <w:r w:rsidR="00810DD5" w:rsidRPr="00810DD5">
        <w:rPr>
          <w:iCs/>
          <w:sz w:val="24"/>
          <w:szCs w:val="24"/>
        </w:rPr>
        <w:t>Kinderlose Ehepaare denken oft, dass der überlebende Partner automatisch alles erbt, wenn der andere stirbt. Daher halten sie ein Testament für unnötig. Doch das ist ein weit verbreitetes Missverständnis, das schwerwiegende Konsequenzen für den zurückbleibenden Partner haben kann. Bei der Frage, wie der überlebende Partner am besten abzusichern ist, helfen Notare durch fachliche Beratung.</w:t>
      </w:r>
    </w:p>
    <w:p w14:paraId="27F3E675" w14:textId="342625C4" w:rsidR="00810DD5" w:rsidRDefault="00810DD5" w:rsidP="00810DD5">
      <w:pPr>
        <w:pStyle w:val="KeinLeerraum"/>
        <w:ind w:left="2835"/>
        <w:jc w:val="both"/>
        <w:rPr>
          <w:i/>
          <w:iCs/>
          <w:sz w:val="24"/>
          <w:szCs w:val="24"/>
        </w:rPr>
      </w:pPr>
    </w:p>
    <w:p w14:paraId="3683A818" w14:textId="256926EF" w:rsidR="00D554A6" w:rsidRPr="00D554A6" w:rsidRDefault="00D554A6" w:rsidP="00810DD5">
      <w:pPr>
        <w:pStyle w:val="KeinLeerraum"/>
        <w:ind w:left="2835"/>
        <w:jc w:val="both"/>
        <w:rPr>
          <w:b/>
          <w:iCs/>
          <w:sz w:val="24"/>
          <w:szCs w:val="24"/>
        </w:rPr>
      </w:pPr>
      <w:r w:rsidRPr="00D554A6">
        <w:rPr>
          <w:b/>
          <w:iCs/>
          <w:sz w:val="24"/>
          <w:szCs w:val="24"/>
        </w:rPr>
        <w:t>Der Ehepartner ist nicht automatisch Alleinerbe</w:t>
      </w:r>
    </w:p>
    <w:p w14:paraId="54246C5E" w14:textId="2D59CD9E" w:rsidR="00810DD5" w:rsidRPr="00293A3A" w:rsidRDefault="00810DD5" w:rsidP="00810DD5">
      <w:pPr>
        <w:pStyle w:val="KeinLeerraum"/>
        <w:ind w:left="2835"/>
        <w:jc w:val="both"/>
        <w:rPr>
          <w:iCs/>
          <w:sz w:val="24"/>
          <w:szCs w:val="24"/>
        </w:rPr>
      </w:pPr>
      <w:r w:rsidRPr="00810DD5">
        <w:rPr>
          <w:iCs/>
          <w:sz w:val="24"/>
          <w:szCs w:val="24"/>
        </w:rPr>
        <w:t xml:space="preserve">In kinderlosen Ehen erbt der Ehepartner gemäß der gesetzlichen Erbfolge nicht alleine, sondern gemeinsam mit den Eltern des Verstorbenen. In vielen Fällen sind die Eltern zwar bereits vorher verstorben. Aber was oft übersehen wird: Deren andere Kinder, </w:t>
      </w:r>
      <w:bookmarkStart w:id="0" w:name="_Hlk144972831"/>
      <w:r w:rsidRPr="00810DD5">
        <w:rPr>
          <w:iCs/>
          <w:sz w:val="24"/>
          <w:szCs w:val="24"/>
        </w:rPr>
        <w:t>also die Geschwister</w:t>
      </w:r>
      <w:bookmarkEnd w:id="0"/>
      <w:r w:rsidR="00997348">
        <w:rPr>
          <w:iCs/>
          <w:sz w:val="24"/>
          <w:szCs w:val="24"/>
        </w:rPr>
        <w:t xml:space="preserve"> des Erblassers</w:t>
      </w:r>
      <w:r w:rsidRPr="00810DD5">
        <w:rPr>
          <w:iCs/>
          <w:sz w:val="24"/>
          <w:szCs w:val="24"/>
        </w:rPr>
        <w:t xml:space="preserve">, erhalten den Anteil der </w:t>
      </w:r>
      <w:r w:rsidRPr="00293A3A">
        <w:rPr>
          <w:iCs/>
          <w:sz w:val="24"/>
          <w:szCs w:val="24"/>
        </w:rPr>
        <w:t>Eltern.</w:t>
      </w:r>
      <w:r w:rsidR="00997348" w:rsidRPr="00293A3A">
        <w:rPr>
          <w:iCs/>
          <w:sz w:val="24"/>
          <w:szCs w:val="24"/>
        </w:rPr>
        <w:t xml:space="preserve"> Sind die Geschwister verstorben, hinterließen aber Kinder, a</w:t>
      </w:r>
      <w:r w:rsidRPr="00293A3A">
        <w:rPr>
          <w:iCs/>
          <w:sz w:val="24"/>
          <w:szCs w:val="24"/>
        </w:rPr>
        <w:t>lso Nichten und Neffen</w:t>
      </w:r>
      <w:r w:rsidR="00997348" w:rsidRPr="00293A3A">
        <w:rPr>
          <w:iCs/>
          <w:sz w:val="24"/>
          <w:szCs w:val="24"/>
        </w:rPr>
        <w:t>, treten diese an die Stelle der Geschwister</w:t>
      </w:r>
      <w:r w:rsidRPr="00293A3A">
        <w:rPr>
          <w:iCs/>
          <w:sz w:val="24"/>
          <w:szCs w:val="24"/>
        </w:rPr>
        <w:t>.</w:t>
      </w:r>
    </w:p>
    <w:p w14:paraId="0B2C374B" w14:textId="1CD385D8" w:rsidR="00D554A6" w:rsidRDefault="00D554A6" w:rsidP="00810DD5">
      <w:pPr>
        <w:pStyle w:val="KeinLeerraum"/>
        <w:ind w:left="2835"/>
        <w:jc w:val="both"/>
        <w:rPr>
          <w:iCs/>
          <w:sz w:val="24"/>
          <w:szCs w:val="24"/>
        </w:rPr>
      </w:pPr>
    </w:p>
    <w:p w14:paraId="79C27E71" w14:textId="1518504F" w:rsidR="00F0439A" w:rsidRPr="00F0439A" w:rsidRDefault="00F0439A" w:rsidP="00810DD5">
      <w:pPr>
        <w:pStyle w:val="KeinLeerraum"/>
        <w:ind w:left="2835"/>
        <w:jc w:val="both"/>
        <w:rPr>
          <w:b/>
          <w:iCs/>
          <w:sz w:val="24"/>
          <w:szCs w:val="24"/>
        </w:rPr>
      </w:pPr>
      <w:r w:rsidRPr="00F0439A">
        <w:rPr>
          <w:b/>
          <w:iCs/>
          <w:sz w:val="24"/>
          <w:szCs w:val="24"/>
        </w:rPr>
        <w:t>Geschwister erben mit</w:t>
      </w:r>
    </w:p>
    <w:p w14:paraId="145E23C0" w14:textId="44AD4238" w:rsidR="00810DD5" w:rsidRPr="00293A3A" w:rsidRDefault="00810DD5" w:rsidP="00810DD5">
      <w:pPr>
        <w:pStyle w:val="KeinLeerraum"/>
        <w:ind w:left="2835"/>
        <w:jc w:val="both"/>
        <w:rPr>
          <w:iCs/>
          <w:sz w:val="24"/>
          <w:szCs w:val="24"/>
        </w:rPr>
      </w:pPr>
      <w:r w:rsidRPr="00810DD5">
        <w:rPr>
          <w:iCs/>
          <w:sz w:val="24"/>
          <w:szCs w:val="24"/>
        </w:rPr>
        <w:t xml:space="preserve">Es kommt häufig vor, dass das Vermögen in der Ehe nicht gleichmäßig aufgeteilt ist. Häufig wird ein Haus zwar gemeinsam bewohnt, aber nur ein Ehepartner ist Eigentümer. In solchen Fällen wird diese Immobilie je nach ehelichem Güterstand entweder zur </w:t>
      </w:r>
      <w:r w:rsidRPr="00293A3A">
        <w:rPr>
          <w:iCs/>
          <w:sz w:val="24"/>
          <w:szCs w:val="24"/>
        </w:rPr>
        <w:t xml:space="preserve">Hälfte oder zu einem Viertel an die Eltern übertragen. Wenn die Eltern nicht mehr leben, </w:t>
      </w:r>
      <w:r w:rsidR="00997348" w:rsidRPr="00293A3A">
        <w:rPr>
          <w:iCs/>
          <w:sz w:val="24"/>
          <w:szCs w:val="24"/>
        </w:rPr>
        <w:t xml:space="preserve">treten </w:t>
      </w:r>
      <w:proofErr w:type="gramStart"/>
      <w:r w:rsidR="00997348" w:rsidRPr="00293A3A">
        <w:rPr>
          <w:iCs/>
          <w:sz w:val="24"/>
          <w:szCs w:val="24"/>
        </w:rPr>
        <w:t>entsprechend</w:t>
      </w:r>
      <w:r w:rsidRPr="00293A3A">
        <w:rPr>
          <w:iCs/>
          <w:sz w:val="24"/>
          <w:szCs w:val="24"/>
        </w:rPr>
        <w:t xml:space="preserve"> die Geschwister</w:t>
      </w:r>
      <w:proofErr w:type="gramEnd"/>
      <w:r w:rsidRPr="00293A3A">
        <w:rPr>
          <w:iCs/>
          <w:sz w:val="24"/>
          <w:szCs w:val="24"/>
        </w:rPr>
        <w:t xml:space="preserve"> oder Nichten und Neffen der verstorbenen Person </w:t>
      </w:r>
      <w:r w:rsidR="00997348" w:rsidRPr="00293A3A">
        <w:rPr>
          <w:iCs/>
          <w:sz w:val="24"/>
          <w:szCs w:val="24"/>
        </w:rPr>
        <w:t>an deren Stelle</w:t>
      </w:r>
      <w:r w:rsidRPr="00293A3A">
        <w:rPr>
          <w:iCs/>
          <w:sz w:val="24"/>
          <w:szCs w:val="24"/>
        </w:rPr>
        <w:t>.</w:t>
      </w:r>
    </w:p>
    <w:p w14:paraId="742BC59C" w14:textId="18758415" w:rsidR="00D554A6" w:rsidRPr="00293A3A" w:rsidRDefault="00D554A6" w:rsidP="00810DD5">
      <w:pPr>
        <w:pStyle w:val="KeinLeerraum"/>
        <w:ind w:left="2835"/>
        <w:jc w:val="both"/>
        <w:rPr>
          <w:iCs/>
          <w:sz w:val="24"/>
          <w:szCs w:val="24"/>
        </w:rPr>
      </w:pPr>
    </w:p>
    <w:p w14:paraId="6F58E4DB" w14:textId="18C6C84D" w:rsidR="00F0439A" w:rsidRPr="00F0439A" w:rsidRDefault="00F0439A" w:rsidP="00810DD5">
      <w:pPr>
        <w:pStyle w:val="KeinLeerraum"/>
        <w:ind w:left="2835"/>
        <w:jc w:val="both"/>
        <w:rPr>
          <w:b/>
          <w:iCs/>
          <w:sz w:val="24"/>
          <w:szCs w:val="24"/>
        </w:rPr>
      </w:pPr>
      <w:r w:rsidRPr="00293A3A">
        <w:rPr>
          <w:b/>
          <w:iCs/>
          <w:sz w:val="24"/>
          <w:szCs w:val="24"/>
        </w:rPr>
        <w:t xml:space="preserve">Gemeinsam geerbte </w:t>
      </w:r>
      <w:r w:rsidRPr="00F0439A">
        <w:rPr>
          <w:b/>
          <w:iCs/>
          <w:sz w:val="24"/>
          <w:szCs w:val="24"/>
        </w:rPr>
        <w:t>Immobilie</w:t>
      </w:r>
    </w:p>
    <w:p w14:paraId="7A8E28CE" w14:textId="60CD9993" w:rsidR="00810DD5" w:rsidRDefault="00810DD5" w:rsidP="00810DD5">
      <w:pPr>
        <w:pStyle w:val="KeinLeerraum"/>
        <w:ind w:left="2835"/>
        <w:jc w:val="both"/>
        <w:rPr>
          <w:iCs/>
          <w:sz w:val="24"/>
          <w:szCs w:val="24"/>
        </w:rPr>
      </w:pPr>
      <w:r w:rsidRPr="00810DD5">
        <w:rPr>
          <w:iCs/>
          <w:sz w:val="24"/>
          <w:szCs w:val="24"/>
        </w:rPr>
        <w:t>So kann es dazu kommen, dass das selbstbewohnte Haus der hinterbliebenen Person wider Erwarten nicht allein vererbt wird, sondern Miteigentümer hinzukommen. Diese haben dann ein Mitspracherecht bei der Nutzung. Die neuen Miteigentümer könnten das Haus verkaufen, vermieten oder es gemeinsam nutzen wollen. Wenn die Erben unterschiedliche Vorstellungen darüber haben, was mit dem Haus geschehen soll, sind Konflikte vorprogrammiert.</w:t>
      </w:r>
    </w:p>
    <w:p w14:paraId="4A89830E" w14:textId="1CFEF70F" w:rsidR="00F0439A" w:rsidRDefault="00F0439A" w:rsidP="00810DD5">
      <w:pPr>
        <w:pStyle w:val="KeinLeerraum"/>
        <w:ind w:left="2835"/>
        <w:jc w:val="both"/>
        <w:rPr>
          <w:iCs/>
          <w:sz w:val="24"/>
          <w:szCs w:val="24"/>
        </w:rPr>
      </w:pPr>
    </w:p>
    <w:p w14:paraId="7C58C00E" w14:textId="4CCB7BB0" w:rsidR="00F0439A" w:rsidRPr="00F0439A" w:rsidRDefault="00F0439A" w:rsidP="00810DD5">
      <w:pPr>
        <w:pStyle w:val="KeinLeerraum"/>
        <w:ind w:left="2835"/>
        <w:jc w:val="both"/>
        <w:rPr>
          <w:b/>
          <w:iCs/>
          <w:sz w:val="24"/>
          <w:szCs w:val="24"/>
        </w:rPr>
      </w:pPr>
      <w:r w:rsidRPr="00F0439A">
        <w:rPr>
          <w:b/>
          <w:iCs/>
          <w:sz w:val="24"/>
          <w:szCs w:val="24"/>
        </w:rPr>
        <w:t>Den Ehepartner als Alleinerben einsetzen</w:t>
      </w:r>
    </w:p>
    <w:p w14:paraId="3AC05F8C" w14:textId="2C9CD988" w:rsidR="00810DD5" w:rsidRPr="00293A3A" w:rsidRDefault="00810DD5" w:rsidP="00810DD5">
      <w:pPr>
        <w:pStyle w:val="KeinLeerraum"/>
        <w:ind w:left="2835"/>
        <w:jc w:val="both"/>
        <w:rPr>
          <w:iCs/>
          <w:sz w:val="24"/>
          <w:szCs w:val="24"/>
        </w:rPr>
      </w:pPr>
      <w:r w:rsidRPr="00810DD5">
        <w:rPr>
          <w:iCs/>
          <w:sz w:val="24"/>
          <w:szCs w:val="24"/>
        </w:rPr>
        <w:t>Wer dafür Sorge</w:t>
      </w:r>
      <w:bookmarkStart w:id="1" w:name="_GoBack"/>
      <w:bookmarkEnd w:id="1"/>
      <w:r w:rsidRPr="00810DD5">
        <w:rPr>
          <w:iCs/>
          <w:sz w:val="24"/>
          <w:szCs w:val="24"/>
        </w:rPr>
        <w:t xml:space="preserve"> tragen möchte, dass der überlebende Partner nach dem Tod abgesichert ist und alleiniges </w:t>
      </w:r>
      <w:r w:rsidRPr="00293A3A">
        <w:rPr>
          <w:iCs/>
          <w:sz w:val="24"/>
          <w:szCs w:val="24"/>
        </w:rPr>
        <w:t>Erbrecht hat, sollte ein Testament verfassen. Darin können die Eheleute sich gegenseitig als Alleinerben einsetzen.</w:t>
      </w:r>
      <w:r w:rsidR="00997348" w:rsidRPr="00293A3A">
        <w:rPr>
          <w:iCs/>
          <w:sz w:val="24"/>
          <w:szCs w:val="24"/>
        </w:rPr>
        <w:t xml:space="preserve"> Der überlebende Ehegatte wird so bei Tod des Ersten vor dem Zugriff Dritter geschützt.</w:t>
      </w:r>
      <w:r w:rsidR="00293A3A" w:rsidRPr="00293A3A">
        <w:rPr>
          <w:iCs/>
          <w:sz w:val="24"/>
          <w:szCs w:val="24"/>
        </w:rPr>
        <w:t xml:space="preserve"> </w:t>
      </w:r>
      <w:r w:rsidR="00997348" w:rsidRPr="00293A3A">
        <w:rPr>
          <w:iCs/>
          <w:sz w:val="24"/>
          <w:szCs w:val="24"/>
        </w:rPr>
        <w:t xml:space="preserve">Es </w:t>
      </w:r>
      <w:r w:rsidR="00997348" w:rsidRPr="00293A3A">
        <w:rPr>
          <w:iCs/>
          <w:sz w:val="24"/>
          <w:szCs w:val="24"/>
        </w:rPr>
        <w:lastRenderedPageBreak/>
        <w:t xml:space="preserve">verbleibt trotz Testament grundsätzlich der Pflichtteilsanspruch der Eltern. </w:t>
      </w:r>
      <w:r w:rsidRPr="00293A3A">
        <w:rPr>
          <w:iCs/>
          <w:sz w:val="24"/>
          <w:szCs w:val="24"/>
        </w:rPr>
        <w:t xml:space="preserve">Wer </w:t>
      </w:r>
      <w:r w:rsidR="00997348" w:rsidRPr="00293A3A">
        <w:rPr>
          <w:iCs/>
          <w:sz w:val="24"/>
          <w:szCs w:val="24"/>
        </w:rPr>
        <w:t xml:space="preserve">diesen </w:t>
      </w:r>
      <w:r w:rsidRPr="00293A3A">
        <w:rPr>
          <w:iCs/>
          <w:sz w:val="24"/>
          <w:szCs w:val="24"/>
        </w:rPr>
        <w:t>vermeiden möchte, kann zusätzlich zum Testament einen notariell beurkundeten Vertrag über einen Pflichtteilsverzicht mit den Eltern abschließen.</w:t>
      </w:r>
    </w:p>
    <w:p w14:paraId="06C5B41A" w14:textId="509A21EF" w:rsidR="00EE0B67" w:rsidRPr="00293A3A" w:rsidRDefault="00EE0B67" w:rsidP="00810DD5">
      <w:pPr>
        <w:pStyle w:val="KeinLeerraum"/>
        <w:ind w:left="2835"/>
        <w:jc w:val="both"/>
        <w:rPr>
          <w:iCs/>
          <w:sz w:val="24"/>
          <w:szCs w:val="24"/>
        </w:rPr>
      </w:pPr>
    </w:p>
    <w:p w14:paraId="117DB043" w14:textId="77777777" w:rsidR="0016068E" w:rsidRDefault="0016068E" w:rsidP="0016068E">
      <w:pPr>
        <w:pStyle w:val="KeinLeerraum"/>
        <w:ind w:left="2835"/>
        <w:jc w:val="both"/>
        <w:rPr>
          <w:iCs/>
          <w:sz w:val="24"/>
          <w:szCs w:val="24"/>
        </w:rPr>
      </w:pPr>
      <w:r w:rsidRPr="00293A3A">
        <w:rPr>
          <w:iCs/>
          <w:sz w:val="24"/>
          <w:szCs w:val="24"/>
        </w:rPr>
        <w:t xml:space="preserve">Wer sich </w:t>
      </w:r>
      <w:r w:rsidRPr="00C14E25">
        <w:rPr>
          <w:iCs/>
          <w:sz w:val="24"/>
          <w:szCs w:val="24"/>
        </w:rPr>
        <w:t xml:space="preserve">im Vorfeld von einem Notar zu diesem Thema beraten lassen möchte, findet im Internet unter </w:t>
      </w:r>
      <w:hyperlink r:id="rId8" w:history="1">
        <w:r w:rsidRPr="007F1D35">
          <w:rPr>
            <w:rStyle w:val="Hyperlink"/>
            <w:iCs/>
            <w:sz w:val="24"/>
            <w:szCs w:val="24"/>
          </w:rPr>
          <w:t>https://notar.de/</w:t>
        </w:r>
      </w:hyperlink>
      <w:r w:rsidRPr="00C14E25">
        <w:rPr>
          <w:iCs/>
          <w:sz w:val="24"/>
          <w:szCs w:val="24"/>
        </w:rPr>
        <w:t xml:space="preserve"> den richtigen Ansprechpartner. Besuchen Sie auch das Online-Verbraucherportal der Notarkammer unter </w:t>
      </w:r>
      <w:hyperlink r:id="rId9" w:history="1">
        <w:r w:rsidRPr="00FA0E29">
          <w:rPr>
            <w:rStyle w:val="Hyperlink"/>
            <w:iCs/>
            <w:sz w:val="24"/>
            <w:szCs w:val="24"/>
          </w:rPr>
          <w:t>https://ratgeber-notar.de</w:t>
        </w:r>
      </w:hyperlink>
      <w:r>
        <w:rPr>
          <w:rStyle w:val="Hyperlink"/>
          <w:iCs/>
          <w:sz w:val="24"/>
          <w:szCs w:val="24"/>
        </w:rPr>
        <w:t>/</w:t>
      </w:r>
      <w:r w:rsidRPr="00C14E25">
        <w:rPr>
          <w:iCs/>
          <w:sz w:val="24"/>
          <w:szCs w:val="24"/>
        </w:rPr>
        <w:t>.</w:t>
      </w:r>
    </w:p>
    <w:p w14:paraId="457B2480" w14:textId="77777777" w:rsidR="003E1932" w:rsidRPr="00975DA2" w:rsidRDefault="003E1932" w:rsidP="003E1932">
      <w:pPr>
        <w:pStyle w:val="KeinLeerraum"/>
        <w:ind w:left="2835"/>
        <w:jc w:val="both"/>
        <w:rPr>
          <w:sz w:val="24"/>
          <w:szCs w:val="24"/>
        </w:rPr>
      </w:pPr>
    </w:p>
    <w:p w14:paraId="5163683B" w14:textId="24109E7D" w:rsidR="0047364A" w:rsidRPr="007F7BBC" w:rsidRDefault="0047364A" w:rsidP="0047364A">
      <w:pPr>
        <w:ind w:left="2835"/>
        <w:jc w:val="both"/>
        <w:rPr>
          <w:sz w:val="24"/>
          <w:szCs w:val="24"/>
        </w:rPr>
      </w:pPr>
      <w:r w:rsidRPr="007F7BBC">
        <w:rPr>
          <w:sz w:val="24"/>
          <w:szCs w:val="24"/>
        </w:rPr>
        <w:t xml:space="preserve">Textumfang ca. </w:t>
      </w:r>
      <w:r w:rsidR="00F0439A">
        <w:rPr>
          <w:sz w:val="24"/>
          <w:szCs w:val="24"/>
        </w:rPr>
        <w:t>2.</w:t>
      </w:r>
      <w:r w:rsidR="00293A3A">
        <w:rPr>
          <w:sz w:val="24"/>
          <w:szCs w:val="24"/>
        </w:rPr>
        <w:t>63</w:t>
      </w:r>
      <w:r w:rsidR="005003DA">
        <w:rPr>
          <w:sz w:val="24"/>
          <w:szCs w:val="24"/>
        </w:rPr>
        <w:t>2</w:t>
      </w:r>
      <w:r w:rsidR="00A5287B" w:rsidRPr="007F7BBC">
        <w:rPr>
          <w:sz w:val="24"/>
          <w:szCs w:val="24"/>
        </w:rPr>
        <w:t xml:space="preserve"> </w:t>
      </w:r>
      <w:r w:rsidRPr="007F7BBC">
        <w:rPr>
          <w:sz w:val="24"/>
          <w:szCs w:val="24"/>
        </w:rPr>
        <w:t>Zeichen inkl. Leerzeichen</w:t>
      </w:r>
    </w:p>
    <w:p w14:paraId="6DA2852F" w14:textId="77777777" w:rsidR="0047364A" w:rsidRPr="007F7BBC" w:rsidRDefault="0047364A" w:rsidP="0047364A">
      <w:pPr>
        <w:ind w:left="2835" w:right="28"/>
        <w:jc w:val="both"/>
        <w:rPr>
          <w:b/>
          <w:sz w:val="24"/>
          <w:szCs w:val="24"/>
        </w:rPr>
      </w:pPr>
    </w:p>
    <w:p w14:paraId="0EDC4F8B" w14:textId="77777777" w:rsidR="0047364A" w:rsidRPr="00430C64" w:rsidRDefault="0047364A" w:rsidP="0047364A">
      <w:pPr>
        <w:ind w:left="2835"/>
        <w:jc w:val="both"/>
        <w:rPr>
          <w:sz w:val="24"/>
          <w:szCs w:val="24"/>
        </w:rPr>
      </w:pPr>
      <w:r w:rsidRPr="007F7BBC">
        <w:rPr>
          <w:sz w:val="24"/>
          <w:szCs w:val="24"/>
        </w:rPr>
        <w:t>Redaktion und Ansprechpartner:</w:t>
      </w:r>
    </w:p>
    <w:p w14:paraId="34E43787" w14:textId="77777777" w:rsidR="0047364A" w:rsidRPr="00430C64" w:rsidRDefault="0047364A" w:rsidP="0047364A">
      <w:pPr>
        <w:ind w:left="2835"/>
        <w:jc w:val="both"/>
        <w:rPr>
          <w:sz w:val="24"/>
          <w:szCs w:val="24"/>
        </w:rPr>
      </w:pPr>
    </w:p>
    <w:p w14:paraId="3232FA14" w14:textId="77777777" w:rsidR="0047364A" w:rsidRPr="00293A3A" w:rsidRDefault="0047364A" w:rsidP="0047364A">
      <w:pPr>
        <w:ind w:left="2835"/>
        <w:jc w:val="both"/>
        <w:rPr>
          <w:sz w:val="24"/>
          <w:szCs w:val="24"/>
        </w:rPr>
      </w:pPr>
      <w:r w:rsidRPr="00293A3A">
        <w:rPr>
          <w:sz w:val="24"/>
          <w:szCs w:val="24"/>
        </w:rPr>
        <w:t>Azet</w:t>
      </w:r>
      <w:r w:rsidRPr="00293A3A">
        <w:rPr>
          <w:b/>
          <w:sz w:val="24"/>
          <w:szCs w:val="24"/>
        </w:rPr>
        <w:t>PR</w:t>
      </w:r>
    </w:p>
    <w:p w14:paraId="68B0A868" w14:textId="77777777" w:rsidR="0047364A" w:rsidRPr="00293A3A" w:rsidRDefault="0047364A" w:rsidP="0047364A">
      <w:pPr>
        <w:ind w:left="2835"/>
        <w:jc w:val="both"/>
        <w:rPr>
          <w:sz w:val="24"/>
          <w:szCs w:val="24"/>
        </w:rPr>
      </w:pPr>
      <w:r w:rsidRPr="00293A3A">
        <w:rPr>
          <w:sz w:val="24"/>
          <w:szCs w:val="24"/>
        </w:rPr>
        <w:t>INTERNATIONAL PUBLIC RELATIONS GmbH</w:t>
      </w:r>
    </w:p>
    <w:p w14:paraId="5C398123" w14:textId="40F79A6C" w:rsidR="0047364A" w:rsidRPr="00293A3A" w:rsidRDefault="002C60A8" w:rsidP="0047364A">
      <w:pPr>
        <w:ind w:left="2835"/>
        <w:rPr>
          <w:sz w:val="24"/>
          <w:szCs w:val="24"/>
        </w:rPr>
      </w:pPr>
      <w:r w:rsidRPr="00293A3A">
        <w:rPr>
          <w:sz w:val="24"/>
          <w:szCs w:val="24"/>
        </w:rPr>
        <w:t>Thomas Spengler</w:t>
      </w:r>
    </w:p>
    <w:p w14:paraId="251BF003" w14:textId="2B59BF41" w:rsidR="0047364A" w:rsidRPr="00430C64" w:rsidRDefault="0047364A" w:rsidP="0047364A">
      <w:pPr>
        <w:ind w:left="2835"/>
        <w:rPr>
          <w:sz w:val="24"/>
          <w:szCs w:val="24"/>
        </w:rPr>
      </w:pPr>
      <w:proofErr w:type="spellStart"/>
      <w:r w:rsidRPr="00430C64">
        <w:rPr>
          <w:sz w:val="24"/>
          <w:szCs w:val="24"/>
        </w:rPr>
        <w:t>Wrangelstraße</w:t>
      </w:r>
      <w:proofErr w:type="spellEnd"/>
      <w:r w:rsidRPr="00430C64">
        <w:rPr>
          <w:sz w:val="24"/>
          <w:szCs w:val="24"/>
        </w:rPr>
        <w:t xml:space="preserve"> 111</w:t>
      </w:r>
      <w:r w:rsidRPr="00430C64">
        <w:rPr>
          <w:sz w:val="24"/>
          <w:szCs w:val="24"/>
        </w:rPr>
        <w:br/>
        <w:t>20253 Hamburg</w:t>
      </w:r>
      <w:r w:rsidRPr="00430C64">
        <w:rPr>
          <w:sz w:val="24"/>
          <w:szCs w:val="24"/>
        </w:rPr>
        <w:br/>
        <w:t>Telefon: 040/41 32 70-</w:t>
      </w:r>
      <w:r w:rsidR="002C60A8">
        <w:rPr>
          <w:sz w:val="24"/>
          <w:szCs w:val="24"/>
        </w:rPr>
        <w:t>21</w:t>
      </w:r>
      <w:r w:rsidRPr="00430C64">
        <w:rPr>
          <w:sz w:val="24"/>
          <w:szCs w:val="24"/>
        </w:rPr>
        <w:br/>
        <w:t>Fax: 040/41 3270-70</w:t>
      </w:r>
    </w:p>
    <w:p w14:paraId="3BD363D4" w14:textId="39B9C269" w:rsidR="0047364A" w:rsidRPr="00430C64" w:rsidRDefault="0047364A" w:rsidP="0047364A">
      <w:pPr>
        <w:ind w:left="2835"/>
        <w:rPr>
          <w:rStyle w:val="Hyperlink"/>
          <w:sz w:val="24"/>
          <w:szCs w:val="24"/>
        </w:rPr>
      </w:pPr>
      <w:r w:rsidRPr="00430C64">
        <w:rPr>
          <w:sz w:val="24"/>
          <w:szCs w:val="24"/>
        </w:rPr>
        <w:t xml:space="preserve">E-Mail: </w:t>
      </w:r>
      <w:hyperlink r:id="rId10" w:history="1">
        <w:r w:rsidR="002C60A8">
          <w:rPr>
            <w:rStyle w:val="Hyperlink"/>
            <w:sz w:val="24"/>
            <w:szCs w:val="24"/>
          </w:rPr>
          <w:t>spengler@azetpr.com</w:t>
        </w:r>
      </w:hyperlink>
    </w:p>
    <w:p w14:paraId="7F8AC85E" w14:textId="56268416" w:rsidR="003F3ACE" w:rsidRPr="003E1932" w:rsidRDefault="005003DA" w:rsidP="003E1932">
      <w:pPr>
        <w:ind w:left="2835"/>
        <w:rPr>
          <w:sz w:val="24"/>
          <w:szCs w:val="24"/>
        </w:rPr>
      </w:pPr>
      <w:hyperlink r:id="rId11" w:history="1">
        <w:r w:rsidR="0047364A" w:rsidRPr="00AC200D">
          <w:rPr>
            <w:rStyle w:val="Hyperlink"/>
            <w:sz w:val="24"/>
            <w:szCs w:val="24"/>
          </w:rPr>
          <w:t>www.azetpr.com</w:t>
        </w:r>
      </w:hyperlink>
    </w:p>
    <w:sectPr w:rsidR="003F3ACE" w:rsidRPr="003E1932" w:rsidSect="000E335F">
      <w:headerReference w:type="first" r:id="rId12"/>
      <w:pgSz w:w="11906" w:h="16838"/>
      <w:pgMar w:top="1417" w:right="1417" w:bottom="1134" w:left="1417" w:header="624"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5AC9ED" w16cex:dateUtc="2023-10-27T12:49:00Z"/>
  <w16cex:commentExtensible w16cex:durableId="5D0AFA3C" w16cex:dateUtc="2023-10-27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DC0B" w14:textId="77777777" w:rsidR="002B2398" w:rsidRDefault="002B2398">
      <w:r>
        <w:separator/>
      </w:r>
    </w:p>
  </w:endnote>
  <w:endnote w:type="continuationSeparator" w:id="0">
    <w:p w14:paraId="39B293DC" w14:textId="77777777" w:rsidR="002B2398" w:rsidRDefault="002B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EDC5" w14:textId="77777777" w:rsidR="002B2398" w:rsidRDefault="002B2398">
      <w:r>
        <w:separator/>
      </w:r>
    </w:p>
  </w:footnote>
  <w:footnote w:type="continuationSeparator" w:id="0">
    <w:p w14:paraId="3894A42F" w14:textId="77777777" w:rsidR="002B2398" w:rsidRDefault="002B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BF62" w14:textId="0063F36A" w:rsidR="00935A21" w:rsidRPr="00935A21" w:rsidRDefault="00935A21" w:rsidP="00935A21">
    <w:pPr>
      <w:tabs>
        <w:tab w:val="center" w:pos="4536"/>
        <w:tab w:val="right" w:pos="9072"/>
      </w:tabs>
      <w:overflowPunct/>
      <w:autoSpaceDE/>
      <w:autoSpaceDN/>
      <w:adjustRightInd/>
      <w:textAlignment w:val="auto"/>
      <w:rPr>
        <w:rFonts w:asciiTheme="minorHAnsi" w:hAnsiTheme="minorHAnsi" w:cstheme="minorHAnsi"/>
        <w:b/>
        <w:smallCaps/>
        <w:sz w:val="22"/>
        <w:szCs w:val="34"/>
      </w:rPr>
    </w:pPr>
  </w:p>
  <w:p w14:paraId="157DD0B3" w14:textId="77777777" w:rsidR="00935A21" w:rsidRPr="00935A21" w:rsidRDefault="00935A21" w:rsidP="00935A21">
    <w:pPr>
      <w:tabs>
        <w:tab w:val="center" w:pos="4536"/>
        <w:tab w:val="right" w:pos="9072"/>
      </w:tabs>
      <w:overflowPunct/>
      <w:autoSpaceDE/>
      <w:autoSpaceDN/>
      <w:adjustRightInd/>
      <w:textAlignment w:val="auto"/>
      <w:rPr>
        <w:rFonts w:asciiTheme="minorHAnsi" w:hAnsiTheme="minorHAnsi" w:cstheme="minorHAnsi"/>
        <w:b/>
        <w:smallCaps/>
        <w:sz w:val="22"/>
        <w:szCs w:val="34"/>
      </w:rPr>
    </w:pPr>
  </w:p>
  <w:p w14:paraId="106DC1FD" w14:textId="4981AFDE" w:rsidR="00935A21" w:rsidRPr="00935A21" w:rsidRDefault="00C41E41" w:rsidP="00935A21">
    <w:pPr>
      <w:tabs>
        <w:tab w:val="center" w:pos="4536"/>
        <w:tab w:val="right" w:pos="9072"/>
      </w:tabs>
      <w:overflowPunct/>
      <w:autoSpaceDE/>
      <w:autoSpaceDN/>
      <w:adjustRightInd/>
      <w:jc w:val="center"/>
      <w:textAlignment w:val="auto"/>
      <w:rPr>
        <w:rFonts w:asciiTheme="minorHAnsi" w:hAnsiTheme="minorHAnsi" w:cstheme="minorHAnsi"/>
        <w:smallCaps/>
        <w:sz w:val="22"/>
        <w:szCs w:val="34"/>
      </w:rPr>
    </w:pPr>
    <w:r w:rsidRPr="00A074F6">
      <w:rPr>
        <w:b/>
        <w:smallCaps/>
        <w:sz w:val="34"/>
        <w:szCs w:val="34"/>
      </w:rPr>
      <w:t>Notarkammer Celle</w:t>
    </w:r>
    <w:r w:rsidR="00935A21">
      <w:rPr>
        <w:b/>
        <w:smallCaps/>
        <w:sz w:val="34"/>
        <w:szCs w:val="34"/>
      </w:rPr>
      <w:br/>
    </w:r>
  </w:p>
  <w:p w14:paraId="3C1F49F0" w14:textId="77777777" w:rsidR="001B0889" w:rsidRPr="00935A21" w:rsidRDefault="00FD4E2E" w:rsidP="00935A21">
    <w:pPr>
      <w:tabs>
        <w:tab w:val="center" w:pos="4536"/>
        <w:tab w:val="right" w:pos="9072"/>
      </w:tabs>
      <w:overflowPunct/>
      <w:autoSpaceDE/>
      <w:autoSpaceDN/>
      <w:adjustRightInd/>
      <w:jc w:val="right"/>
      <w:textAlignment w:val="auto"/>
      <w:rPr>
        <w:rFonts w:eastAsia="Calibri"/>
        <w:b/>
        <w:sz w:val="26"/>
        <w:szCs w:val="22"/>
        <w:lang w:eastAsia="en-US"/>
      </w:rPr>
    </w:pPr>
    <w:r w:rsidRPr="00935A21">
      <w:rPr>
        <w:rFonts w:eastAsia="Calibri"/>
        <w:b/>
        <w:sz w:val="26"/>
        <w:szCs w:val="22"/>
        <w:lang w:eastAsia="en-US"/>
      </w:rPr>
      <w:t>PRESSEMITTEILUNG</w:t>
    </w:r>
  </w:p>
  <w:p w14:paraId="176450E6" w14:textId="77777777" w:rsidR="001B0889" w:rsidRPr="000E335F" w:rsidRDefault="00FD4E2E" w:rsidP="000E335F">
    <w:pPr>
      <w:tabs>
        <w:tab w:val="center" w:pos="4536"/>
        <w:tab w:val="right" w:pos="9072"/>
      </w:tabs>
      <w:overflowPunct/>
      <w:autoSpaceDE/>
      <w:autoSpaceDN/>
      <w:adjustRightInd/>
      <w:textAlignment w:val="auto"/>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7FDAC29B" wp14:editId="0668AC1F">
              <wp:simplePos x="0" y="0"/>
              <wp:positionH relativeFrom="page">
                <wp:posOffset>6660515</wp:posOffset>
              </wp:positionH>
              <wp:positionV relativeFrom="page">
                <wp:posOffset>977900</wp:posOffset>
              </wp:positionV>
              <wp:extent cx="899795" cy="146050"/>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6050"/>
                      </a:xfrm>
                      <a:prstGeom prst="rect">
                        <a:avLst/>
                      </a:prstGeom>
                      <a:noFill/>
                    </wps:spPr>
                    <wps:txbx>
                      <w:txbxContent>
                        <w:p w14:paraId="789FE5D1" w14:textId="77777777" w:rsidR="001B0889" w:rsidRPr="008F5FE5" w:rsidRDefault="001B0889" w:rsidP="000E335F">
                          <w:pPr>
                            <w:ind w:left="-284"/>
                            <w:rPr>
                              <w:color w:val="FFFFFF"/>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FDAC29B" id="_x0000_t202" coordsize="21600,21600" o:spt="202" path="m,l,21600r21600,l21600,xe">
              <v:stroke joinstyle="miter"/>
              <v:path gradientshapeok="t" o:connecttype="rect"/>
            </v:shapetype>
            <v:shape id="Textfeld 476" o:spid="_x0000_s1026" type="#_x0000_t202" style="position:absolute;margin-left:524.45pt;margin-top:77pt;width:70.8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lV6gEAAKsDAAAOAAAAZHJzL2Uyb0RvYy54bWysU9tu2zAMfR+wfxD0vjgp0rQx4hRdiwwD&#10;ugvQ9gMYWY6F2aJGKbGzrx8lx1mwvRV7ESSKOjznkFrd9W0jDpq8QVvI2WQqhbYKS2N3hXx92Xy4&#10;lcIHsCU0aHUhj9rLu/X7d6vO5foKa2xKTYJBrM87V8g6BJdnmVe1bsFP0GnLlxVSC4GPtMtKgo7R&#10;2ya7mk4XWYdUOkKlvefo43Ap1wm/qrQK36rK6yCaQjK3kFZK6zau2XoF+Y7A1UadaMAbWLRgLBc9&#10;Qz1CALEn8w9UaxShxypMFLYZVpVROmlgNbPpX2qea3A6aWFzvDvb5P8frPp6+E7ClIWc3yyksNBy&#10;k150HyrdlCLG2KHO+ZwTnx2nhv4j9tzppNa7J1Q/vLD4UIPd6Xsi7GoNJTOcxZfZxdMBx0eQbfcF&#10;Sy4E+4AJqK+ojfaxIYLRuVPHc3eYjFAcvF0ub5bXUii+ms0X0+vUvQzy8bEjHz5pbEXcFJK4+Qkc&#10;Dk8+RDKQjymxlsWNaZqRZOQ1MAz9tj+J3mJ5ZLqEw9zwnPOmRvolRcczU0j/cw+kpWg+W5a8nM3n&#10;ccjSgTd0Gd2OUbCKIQqpAkkxHB7CMJJ7R2ZXc43R3ns2aGMS+ejkwOdkK09E0nSa3jhyl+eU9eeP&#10;rX8DAAD//wMAUEsDBBQABgAIAAAAIQAE2MMQ3wAAAA0BAAAPAAAAZHJzL2Rvd25yZXYueG1sTI/B&#10;TsMwEETvSPyDtUjcqF0oaRriVAjRA6IXSrm78ZJE2OsodtrA17M9wW1G+zQ7U64n78QRh9gF0jCf&#10;KRBIdbAdNRr275ubHERMhqxxgVDDN0ZYV5cXpSlsONEbHnepERxCsTAa2pT6QspYt+hNnIUeiW+f&#10;YfAmsR0aaQdz4nDv5K1SmfSmI/7Qmh6fWqy/dqPX8Dyqvd+mOwovr7LJ6cd12cdG6+ur6fEBRMIp&#10;/cFwrs/VoeJOhzCSjcKxV4t8xSyr+wWvOiPzlcpAHFgtlwpkVcr/K6pfAAAA//8DAFBLAQItABQA&#10;BgAIAAAAIQC2gziS/gAAAOEBAAATAAAAAAAAAAAAAAAAAAAAAABbQ29udGVudF9UeXBlc10ueG1s&#10;UEsBAi0AFAAGAAgAAAAhADj9If/WAAAAlAEAAAsAAAAAAAAAAAAAAAAALwEAAF9yZWxzLy5yZWxz&#10;UEsBAi0AFAAGAAgAAAAhAJ61yVXqAQAAqwMAAA4AAAAAAAAAAAAAAAAALgIAAGRycy9lMm9Eb2Mu&#10;eG1sUEsBAi0AFAAGAAgAAAAhAATYwxDfAAAADQEAAA8AAAAAAAAAAAAAAAAARAQAAGRycy9kb3du&#10;cmV2LnhtbFBLBQYAAAAABAAEAPMAAABQBQAAAAA=&#10;" o:allowincell="f" filled="f" stroked="f">
              <v:textbox style="mso-fit-shape-to-text:t" inset=",0,,0">
                <w:txbxContent>
                  <w:p w14:paraId="789FE5D1" w14:textId="77777777" w:rsidR="001B0889" w:rsidRPr="008F5FE5" w:rsidRDefault="001B0889" w:rsidP="000E335F">
                    <w:pPr>
                      <w:ind w:left="-284"/>
                      <w:rPr>
                        <w:color w:val="FFFFFF"/>
                      </w:rPr>
                    </w:pPr>
                  </w:p>
                </w:txbxContent>
              </v:textbox>
              <w10:wrap anchorx="page" anchory="page"/>
            </v:shape>
          </w:pict>
        </mc:Fallback>
      </mc:AlternateContent>
    </w:r>
  </w:p>
  <w:p w14:paraId="7E80351C" w14:textId="77777777" w:rsidR="001B0889" w:rsidRDefault="001B08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7172C"/>
    <w:multiLevelType w:val="hybridMultilevel"/>
    <w:tmpl w:val="E12AC2F0"/>
    <w:lvl w:ilvl="0" w:tplc="726E52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CF5B18"/>
    <w:multiLevelType w:val="hybridMultilevel"/>
    <w:tmpl w:val="451CB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760/12"/>
    <w:docVar w:name="Bemerkung" w:val="Verbraucherrecht_Abgebrochene Verfahren"/>
    <w:docVar w:name="DDNr" w:val="D4/D32-21"/>
    <w:docVar w:name="DDNummerPH" w:val="fehlt"/>
    <w:docVar w:name="dgnword-docGUID" w:val="{C812D176-A72C-4EDE-90A5-78DBA8635570}"/>
    <w:docVar w:name="dgnword-drafile" w:val="C:\Users\CARSTE~1.WRI\AppData\Local\Temp\draD5E2.tmp"/>
    <w:docVar w:name="dgnword-eventsink" w:val="452823528"/>
    <w:docVar w:name="EAStatus" w:val="0"/>
    <w:docVar w:name="Rubrik" w:val="solleer"/>
    <w:docVar w:name="Schlagwort" w:val="solleer"/>
  </w:docVars>
  <w:rsids>
    <w:rsidRoot w:val="009747B1"/>
    <w:rsid w:val="00000D63"/>
    <w:rsid w:val="00005819"/>
    <w:rsid w:val="000249ED"/>
    <w:rsid w:val="00040658"/>
    <w:rsid w:val="000669FD"/>
    <w:rsid w:val="00066DB5"/>
    <w:rsid w:val="00080A52"/>
    <w:rsid w:val="00081250"/>
    <w:rsid w:val="00082061"/>
    <w:rsid w:val="000822A4"/>
    <w:rsid w:val="000949EC"/>
    <w:rsid w:val="000A6B1E"/>
    <w:rsid w:val="000B3E4D"/>
    <w:rsid w:val="000B4EF0"/>
    <w:rsid w:val="000D0C36"/>
    <w:rsid w:val="000D658E"/>
    <w:rsid w:val="000D66ED"/>
    <w:rsid w:val="000D6FA1"/>
    <w:rsid w:val="00102489"/>
    <w:rsid w:val="00146E12"/>
    <w:rsid w:val="0016068E"/>
    <w:rsid w:val="001635A1"/>
    <w:rsid w:val="00171306"/>
    <w:rsid w:val="001A7E87"/>
    <w:rsid w:val="001B0889"/>
    <w:rsid w:val="001B0DF1"/>
    <w:rsid w:val="001B3BF3"/>
    <w:rsid w:val="001D33A7"/>
    <w:rsid w:val="001E3313"/>
    <w:rsid w:val="0020544F"/>
    <w:rsid w:val="00214CEB"/>
    <w:rsid w:val="00215286"/>
    <w:rsid w:val="00217E34"/>
    <w:rsid w:val="00221FC3"/>
    <w:rsid w:val="002572B0"/>
    <w:rsid w:val="0027119F"/>
    <w:rsid w:val="00281EDF"/>
    <w:rsid w:val="002844A4"/>
    <w:rsid w:val="00293A3A"/>
    <w:rsid w:val="00296582"/>
    <w:rsid w:val="002B212B"/>
    <w:rsid w:val="002B2398"/>
    <w:rsid w:val="002C0415"/>
    <w:rsid w:val="002C3D76"/>
    <w:rsid w:val="002C60A8"/>
    <w:rsid w:val="002D5504"/>
    <w:rsid w:val="002E1108"/>
    <w:rsid w:val="002F63BD"/>
    <w:rsid w:val="00311A96"/>
    <w:rsid w:val="003308F4"/>
    <w:rsid w:val="00336F0B"/>
    <w:rsid w:val="00394734"/>
    <w:rsid w:val="00395981"/>
    <w:rsid w:val="003A763E"/>
    <w:rsid w:val="003B1799"/>
    <w:rsid w:val="003C7BC2"/>
    <w:rsid w:val="003E1932"/>
    <w:rsid w:val="003F3ACE"/>
    <w:rsid w:val="004021E7"/>
    <w:rsid w:val="00407EC2"/>
    <w:rsid w:val="00410E5C"/>
    <w:rsid w:val="00422476"/>
    <w:rsid w:val="00434A47"/>
    <w:rsid w:val="004357EC"/>
    <w:rsid w:val="004464DC"/>
    <w:rsid w:val="0047364A"/>
    <w:rsid w:val="0048354A"/>
    <w:rsid w:val="004B6979"/>
    <w:rsid w:val="004D7EB4"/>
    <w:rsid w:val="004E0A0B"/>
    <w:rsid w:val="004E5621"/>
    <w:rsid w:val="004F3456"/>
    <w:rsid w:val="005002CE"/>
    <w:rsid w:val="005003DA"/>
    <w:rsid w:val="00505B8F"/>
    <w:rsid w:val="00507215"/>
    <w:rsid w:val="00507F90"/>
    <w:rsid w:val="00516A03"/>
    <w:rsid w:val="005220A1"/>
    <w:rsid w:val="00527AF1"/>
    <w:rsid w:val="00555C20"/>
    <w:rsid w:val="00572B68"/>
    <w:rsid w:val="00595BE8"/>
    <w:rsid w:val="005B00BD"/>
    <w:rsid w:val="005B639A"/>
    <w:rsid w:val="005B7173"/>
    <w:rsid w:val="005D240E"/>
    <w:rsid w:val="005D24DF"/>
    <w:rsid w:val="005E0D58"/>
    <w:rsid w:val="005E4453"/>
    <w:rsid w:val="005F0FA9"/>
    <w:rsid w:val="0060467C"/>
    <w:rsid w:val="0061726B"/>
    <w:rsid w:val="00625F49"/>
    <w:rsid w:val="0063072B"/>
    <w:rsid w:val="00652BCC"/>
    <w:rsid w:val="00663FBC"/>
    <w:rsid w:val="00685B21"/>
    <w:rsid w:val="00691C47"/>
    <w:rsid w:val="0069445B"/>
    <w:rsid w:val="0069716C"/>
    <w:rsid w:val="006B3480"/>
    <w:rsid w:val="006B43A9"/>
    <w:rsid w:val="006D093B"/>
    <w:rsid w:val="006E4787"/>
    <w:rsid w:val="006F370F"/>
    <w:rsid w:val="007011F3"/>
    <w:rsid w:val="00703FC4"/>
    <w:rsid w:val="007165EC"/>
    <w:rsid w:val="0074738D"/>
    <w:rsid w:val="00757403"/>
    <w:rsid w:val="007B1615"/>
    <w:rsid w:val="007C15E9"/>
    <w:rsid w:val="007D3939"/>
    <w:rsid w:val="007F7BBC"/>
    <w:rsid w:val="00810DD5"/>
    <w:rsid w:val="008200F0"/>
    <w:rsid w:val="00833F7E"/>
    <w:rsid w:val="00834CC7"/>
    <w:rsid w:val="00847435"/>
    <w:rsid w:val="00863475"/>
    <w:rsid w:val="0088698F"/>
    <w:rsid w:val="00892A3C"/>
    <w:rsid w:val="008951DB"/>
    <w:rsid w:val="008B0017"/>
    <w:rsid w:val="008B0E43"/>
    <w:rsid w:val="008C0166"/>
    <w:rsid w:val="008E2098"/>
    <w:rsid w:val="008F51F6"/>
    <w:rsid w:val="00927D7E"/>
    <w:rsid w:val="00931E82"/>
    <w:rsid w:val="00935A21"/>
    <w:rsid w:val="00952376"/>
    <w:rsid w:val="00952907"/>
    <w:rsid w:val="00956479"/>
    <w:rsid w:val="00967229"/>
    <w:rsid w:val="00970C84"/>
    <w:rsid w:val="00973366"/>
    <w:rsid w:val="009747B1"/>
    <w:rsid w:val="009776D9"/>
    <w:rsid w:val="00985866"/>
    <w:rsid w:val="00997348"/>
    <w:rsid w:val="009C0FC4"/>
    <w:rsid w:val="009C2176"/>
    <w:rsid w:val="009C34FF"/>
    <w:rsid w:val="009D4749"/>
    <w:rsid w:val="009E4DF7"/>
    <w:rsid w:val="009F5D28"/>
    <w:rsid w:val="00A23C72"/>
    <w:rsid w:val="00A269B3"/>
    <w:rsid w:val="00A4695C"/>
    <w:rsid w:val="00A5287B"/>
    <w:rsid w:val="00A56C18"/>
    <w:rsid w:val="00A57041"/>
    <w:rsid w:val="00A75F0B"/>
    <w:rsid w:val="00A85EFC"/>
    <w:rsid w:val="00A972A5"/>
    <w:rsid w:val="00AB6E84"/>
    <w:rsid w:val="00AC1DAE"/>
    <w:rsid w:val="00AF69E2"/>
    <w:rsid w:val="00B042EB"/>
    <w:rsid w:val="00B057CE"/>
    <w:rsid w:val="00B144B9"/>
    <w:rsid w:val="00B17231"/>
    <w:rsid w:val="00B25BF6"/>
    <w:rsid w:val="00B26BE6"/>
    <w:rsid w:val="00B317F1"/>
    <w:rsid w:val="00B31DED"/>
    <w:rsid w:val="00B4292E"/>
    <w:rsid w:val="00B535F7"/>
    <w:rsid w:val="00B578B3"/>
    <w:rsid w:val="00B67666"/>
    <w:rsid w:val="00B911FD"/>
    <w:rsid w:val="00B9677B"/>
    <w:rsid w:val="00BA1908"/>
    <w:rsid w:val="00C252E0"/>
    <w:rsid w:val="00C37A60"/>
    <w:rsid w:val="00C41E41"/>
    <w:rsid w:val="00C44B8B"/>
    <w:rsid w:val="00C63221"/>
    <w:rsid w:val="00C72418"/>
    <w:rsid w:val="00C924D8"/>
    <w:rsid w:val="00C94381"/>
    <w:rsid w:val="00CA2C3E"/>
    <w:rsid w:val="00CD22E1"/>
    <w:rsid w:val="00CD5B97"/>
    <w:rsid w:val="00CF18B0"/>
    <w:rsid w:val="00CF3717"/>
    <w:rsid w:val="00D14F6F"/>
    <w:rsid w:val="00D231D3"/>
    <w:rsid w:val="00D27520"/>
    <w:rsid w:val="00D554A6"/>
    <w:rsid w:val="00D56445"/>
    <w:rsid w:val="00DA49B2"/>
    <w:rsid w:val="00DC3E18"/>
    <w:rsid w:val="00DE0821"/>
    <w:rsid w:val="00DE1615"/>
    <w:rsid w:val="00DE3106"/>
    <w:rsid w:val="00DE517F"/>
    <w:rsid w:val="00DE6835"/>
    <w:rsid w:val="00DE796B"/>
    <w:rsid w:val="00E03418"/>
    <w:rsid w:val="00E07153"/>
    <w:rsid w:val="00E14B16"/>
    <w:rsid w:val="00E23434"/>
    <w:rsid w:val="00E41A9C"/>
    <w:rsid w:val="00E44582"/>
    <w:rsid w:val="00E44635"/>
    <w:rsid w:val="00E463AF"/>
    <w:rsid w:val="00EA2DBF"/>
    <w:rsid w:val="00EB6210"/>
    <w:rsid w:val="00EE0B67"/>
    <w:rsid w:val="00EE4B8B"/>
    <w:rsid w:val="00EE5F1F"/>
    <w:rsid w:val="00EF0F94"/>
    <w:rsid w:val="00F0439A"/>
    <w:rsid w:val="00F24B3B"/>
    <w:rsid w:val="00F5667D"/>
    <w:rsid w:val="00F63489"/>
    <w:rsid w:val="00F65269"/>
    <w:rsid w:val="00F7726D"/>
    <w:rsid w:val="00F862A5"/>
    <w:rsid w:val="00F9191E"/>
    <w:rsid w:val="00FA2C96"/>
    <w:rsid w:val="00FB07B0"/>
    <w:rsid w:val="00FB4427"/>
    <w:rsid w:val="00FD29EA"/>
    <w:rsid w:val="00FD4E2E"/>
    <w:rsid w:val="00FF0AD8"/>
    <w:rsid w:val="00FF66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BE9"/>
  <w15:chartTrackingRefBased/>
  <w15:docId w15:val="{7219D18C-8C7E-45DA-BC40-B88158A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6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64A"/>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47364A"/>
    <w:rPr>
      <w:rFonts w:ascii="Calibri" w:eastAsia="Calibri" w:hAnsi="Calibri" w:cs="Times New Roman"/>
    </w:rPr>
  </w:style>
  <w:style w:type="character" w:styleId="Hyperlink">
    <w:name w:val="Hyperlink"/>
    <w:unhideWhenUsed/>
    <w:rsid w:val="0047364A"/>
    <w:rPr>
      <w:color w:val="0000FF"/>
      <w:u w:val="single"/>
    </w:rPr>
  </w:style>
  <w:style w:type="paragraph" w:styleId="KeinLeerraum">
    <w:name w:val="No Spacing"/>
    <w:basedOn w:val="Standard"/>
    <w:uiPriority w:val="1"/>
    <w:qFormat/>
    <w:rsid w:val="0047364A"/>
    <w:pPr>
      <w:adjustRightInd/>
      <w:textAlignment w:val="auto"/>
    </w:pPr>
    <w:rPr>
      <w:rFonts w:eastAsia="Calibri"/>
    </w:rPr>
  </w:style>
  <w:style w:type="character" w:styleId="NichtaufgelsteErwhnung">
    <w:name w:val="Unresolved Mention"/>
    <w:basedOn w:val="Absatz-Standardschriftart"/>
    <w:uiPriority w:val="99"/>
    <w:semiHidden/>
    <w:unhideWhenUsed/>
    <w:rsid w:val="006D093B"/>
    <w:rPr>
      <w:color w:val="605E5C"/>
      <w:shd w:val="clear" w:color="auto" w:fill="E1DFDD"/>
    </w:rPr>
  </w:style>
  <w:style w:type="character" w:styleId="Kommentarzeichen">
    <w:name w:val="annotation reference"/>
    <w:basedOn w:val="Absatz-Standardschriftart"/>
    <w:uiPriority w:val="99"/>
    <w:semiHidden/>
    <w:unhideWhenUsed/>
    <w:rsid w:val="000249ED"/>
    <w:rPr>
      <w:sz w:val="16"/>
      <w:szCs w:val="16"/>
    </w:rPr>
  </w:style>
  <w:style w:type="paragraph" w:styleId="Kommentartext">
    <w:name w:val="annotation text"/>
    <w:basedOn w:val="Standard"/>
    <w:link w:val="KommentartextZchn"/>
    <w:uiPriority w:val="99"/>
    <w:unhideWhenUsed/>
    <w:rsid w:val="000249ED"/>
  </w:style>
  <w:style w:type="character" w:customStyle="1" w:styleId="KommentartextZchn">
    <w:name w:val="Kommentartext Zchn"/>
    <w:basedOn w:val="Absatz-Standardschriftart"/>
    <w:link w:val="Kommentartext"/>
    <w:uiPriority w:val="99"/>
    <w:rsid w:val="000249E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49ED"/>
    <w:rPr>
      <w:b/>
      <w:bCs/>
    </w:rPr>
  </w:style>
  <w:style w:type="character" w:customStyle="1" w:styleId="KommentarthemaZchn">
    <w:name w:val="Kommentarthema Zchn"/>
    <w:basedOn w:val="KommentartextZchn"/>
    <w:link w:val="Kommentarthema"/>
    <w:uiPriority w:val="99"/>
    <w:semiHidden/>
    <w:rsid w:val="000249E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249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9ED"/>
    <w:rPr>
      <w:rFonts w:ascii="Segoe UI" w:eastAsia="Times New Roman" w:hAnsi="Segoe UI" w:cs="Segoe UI"/>
      <w:sz w:val="18"/>
      <w:szCs w:val="18"/>
      <w:lang w:eastAsia="de-DE"/>
    </w:rPr>
  </w:style>
  <w:style w:type="paragraph" w:styleId="Listenabsatz">
    <w:name w:val="List Paragraph"/>
    <w:basedOn w:val="Standard"/>
    <w:uiPriority w:val="34"/>
    <w:qFormat/>
    <w:rsid w:val="00EF0F94"/>
    <w:pPr>
      <w:overflowPunct/>
      <w:autoSpaceDE/>
      <w:autoSpaceDN/>
      <w:adjustRightInd/>
      <w:spacing w:after="200" w:line="276" w:lineRule="auto"/>
      <w:ind w:left="720"/>
      <w:contextualSpacing/>
      <w:textAlignment w:val="auto"/>
    </w:pPr>
    <w:rPr>
      <w:rFonts w:ascii="Arial" w:eastAsiaTheme="minorHAnsi" w:hAnsi="Arial" w:cs="Arial"/>
      <w:sz w:val="22"/>
      <w:szCs w:val="22"/>
      <w:lang w:eastAsia="en-US"/>
    </w:rPr>
  </w:style>
  <w:style w:type="character" w:styleId="BesuchterLink">
    <w:name w:val="FollowedHyperlink"/>
    <w:basedOn w:val="Absatz-Standardschriftart"/>
    <w:uiPriority w:val="99"/>
    <w:semiHidden/>
    <w:unhideWhenUsed/>
    <w:rsid w:val="00081250"/>
    <w:rPr>
      <w:color w:val="800080" w:themeColor="followedHyperlink"/>
      <w:u w:val="single"/>
    </w:rPr>
  </w:style>
  <w:style w:type="paragraph" w:styleId="Fuzeile">
    <w:name w:val="footer"/>
    <w:basedOn w:val="Standard"/>
    <w:link w:val="FuzeileZchn"/>
    <w:uiPriority w:val="99"/>
    <w:unhideWhenUsed/>
    <w:rsid w:val="00C41E41"/>
    <w:pPr>
      <w:tabs>
        <w:tab w:val="center" w:pos="4536"/>
        <w:tab w:val="right" w:pos="9072"/>
      </w:tabs>
    </w:pPr>
  </w:style>
  <w:style w:type="character" w:customStyle="1" w:styleId="FuzeileZchn">
    <w:name w:val="Fußzeile Zchn"/>
    <w:basedOn w:val="Absatz-Standardschriftart"/>
    <w:link w:val="Fuzeile"/>
    <w:uiPriority w:val="99"/>
    <w:rsid w:val="00C41E41"/>
    <w:rPr>
      <w:rFonts w:ascii="Times New Roman" w:eastAsia="Times New Roman" w:hAnsi="Times New Roman" w:cs="Times New Roman"/>
      <w:sz w:val="20"/>
      <w:szCs w:val="20"/>
      <w:lang w:eastAsia="de-DE"/>
    </w:rPr>
  </w:style>
  <w:style w:type="character" w:styleId="IntensiveHervorhebung">
    <w:name w:val="Intense Emphasis"/>
    <w:basedOn w:val="Absatz-Standardschriftart"/>
    <w:uiPriority w:val="21"/>
    <w:qFormat/>
    <w:rsid w:val="00EA2DB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a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etpr.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pengler@azetpr.com" TargetMode="External"/><Relationship Id="rId4" Type="http://schemas.openxmlformats.org/officeDocument/2006/relationships/settings" Target="settings.xml"/><Relationship Id="rId9" Type="http://schemas.openxmlformats.org/officeDocument/2006/relationships/hyperlink" Target="https://ratgeber-nota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1309-E5F6-4F11-8D94-3156CDB9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4</cp:revision>
  <cp:lastPrinted>2023-05-15T11:00:00Z</cp:lastPrinted>
  <dcterms:created xsi:type="dcterms:W3CDTF">2023-10-27T12:58:00Z</dcterms:created>
  <dcterms:modified xsi:type="dcterms:W3CDTF">2024-01-15T09:46:00Z</dcterms:modified>
</cp:coreProperties>
</file>