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BF9D9" w14:textId="17790125" w:rsidR="00147FE6" w:rsidRPr="00147FE6" w:rsidRDefault="00723EA5" w:rsidP="00AE2F36">
      <w:pPr>
        <w:pStyle w:val="KeinLeerraum"/>
        <w:ind w:left="2835"/>
        <w:jc w:val="both"/>
        <w:rPr>
          <w:b/>
          <w:sz w:val="24"/>
          <w:szCs w:val="24"/>
        </w:rPr>
      </w:pPr>
      <w:r w:rsidRPr="00723EA5">
        <w:rPr>
          <w:b/>
          <w:sz w:val="24"/>
          <w:szCs w:val="24"/>
        </w:rPr>
        <w:t>Zentrales Vorsorgeregister der Bundesnotarkammer</w:t>
      </w:r>
    </w:p>
    <w:p w14:paraId="4D61A962" w14:textId="35139045" w:rsidR="0047364A" w:rsidRDefault="00723EA5" w:rsidP="00AE2F36">
      <w:pPr>
        <w:pStyle w:val="KeinLeerraum"/>
        <w:ind w:left="2835"/>
        <w:jc w:val="both"/>
        <w:rPr>
          <w:b/>
          <w:sz w:val="24"/>
          <w:szCs w:val="24"/>
        </w:rPr>
      </w:pPr>
      <w:r w:rsidRPr="00723EA5">
        <w:rPr>
          <w:b/>
          <w:sz w:val="24"/>
          <w:szCs w:val="24"/>
        </w:rPr>
        <w:t>Registrierung verhindert Bestellung eines gerichtlichen Betreuers</w:t>
      </w:r>
    </w:p>
    <w:p w14:paraId="36ABF855" w14:textId="77777777" w:rsidR="0047364A" w:rsidRPr="00975DA2" w:rsidRDefault="0047364A" w:rsidP="00AE2F36">
      <w:pPr>
        <w:tabs>
          <w:tab w:val="left" w:pos="1728"/>
        </w:tabs>
        <w:ind w:left="2835"/>
        <w:rPr>
          <w:b/>
          <w:sz w:val="24"/>
          <w:szCs w:val="24"/>
        </w:rPr>
      </w:pPr>
    </w:p>
    <w:p w14:paraId="3FEFA557" w14:textId="28C14536" w:rsidR="00723EA5" w:rsidRPr="00723EA5" w:rsidRDefault="0047364A" w:rsidP="00723EA5">
      <w:pPr>
        <w:pStyle w:val="KeinLeerraum"/>
        <w:ind w:left="2835"/>
        <w:jc w:val="both"/>
        <w:rPr>
          <w:iCs/>
          <w:sz w:val="24"/>
          <w:szCs w:val="24"/>
        </w:rPr>
      </w:pPr>
      <w:r>
        <w:rPr>
          <w:i/>
          <w:iCs/>
          <w:sz w:val="24"/>
          <w:szCs w:val="24"/>
        </w:rPr>
        <w:t>Schleswig-Holsteinische N</w:t>
      </w:r>
      <w:r w:rsidRPr="003B5F40">
        <w:rPr>
          <w:i/>
          <w:iCs/>
          <w:sz w:val="24"/>
          <w:szCs w:val="24"/>
        </w:rPr>
        <w:t>otarkammer</w:t>
      </w:r>
      <w:r w:rsidRPr="003B5F40">
        <w:rPr>
          <w:iCs/>
          <w:sz w:val="24"/>
          <w:szCs w:val="24"/>
        </w:rPr>
        <w:t xml:space="preserve">. </w:t>
      </w:r>
      <w:r w:rsidR="00723EA5" w:rsidRPr="00723EA5">
        <w:rPr>
          <w:iCs/>
          <w:sz w:val="24"/>
          <w:szCs w:val="24"/>
        </w:rPr>
        <w:t xml:space="preserve">Immer mehr Menschen sind aufgrund von Krankheit, Unfällen oder Behinderung nicht mehr in der Lage, über die eigenen persönlichen und finanziellen Belange zu entscheiden. </w:t>
      </w:r>
      <w:r w:rsidR="00723EA5" w:rsidRPr="00E164C3">
        <w:rPr>
          <w:iCs/>
          <w:sz w:val="24"/>
          <w:szCs w:val="24"/>
        </w:rPr>
        <w:t xml:space="preserve">Derzeit werden </w:t>
      </w:r>
      <w:r w:rsidR="00CE3CBC" w:rsidRPr="00E164C3">
        <w:rPr>
          <w:iCs/>
          <w:sz w:val="24"/>
          <w:szCs w:val="24"/>
        </w:rPr>
        <w:t>etwa 1,3</w:t>
      </w:r>
      <w:r w:rsidR="00723EA5" w:rsidRPr="00E164C3">
        <w:rPr>
          <w:iCs/>
          <w:sz w:val="24"/>
          <w:szCs w:val="24"/>
        </w:rPr>
        <w:t xml:space="preserve"> Million</w:t>
      </w:r>
      <w:r w:rsidR="007D4BC2">
        <w:rPr>
          <w:iCs/>
          <w:sz w:val="24"/>
          <w:szCs w:val="24"/>
        </w:rPr>
        <w:t>en Personen</w:t>
      </w:r>
      <w:r w:rsidR="00E164C3" w:rsidRPr="00E164C3">
        <w:rPr>
          <w:iCs/>
          <w:sz w:val="24"/>
          <w:szCs w:val="24"/>
        </w:rPr>
        <w:t xml:space="preserve"> in Deutschland</w:t>
      </w:r>
      <w:r w:rsidR="00723EA5" w:rsidRPr="00E164C3">
        <w:rPr>
          <w:iCs/>
          <w:sz w:val="24"/>
          <w:szCs w:val="24"/>
        </w:rPr>
        <w:t xml:space="preserve"> von einem </w:t>
      </w:r>
      <w:r w:rsidR="007D4BC2">
        <w:rPr>
          <w:iCs/>
          <w:sz w:val="24"/>
          <w:szCs w:val="24"/>
        </w:rPr>
        <w:t>gerichtlich</w:t>
      </w:r>
      <w:r w:rsidR="00723EA5" w:rsidRPr="00E164C3">
        <w:rPr>
          <w:iCs/>
          <w:sz w:val="24"/>
          <w:szCs w:val="24"/>
        </w:rPr>
        <w:t xml:space="preserve"> bestellten Fürsorger betreut. Wer sich auch</w:t>
      </w:r>
      <w:r w:rsidR="00723EA5" w:rsidRPr="00723EA5">
        <w:rPr>
          <w:iCs/>
          <w:sz w:val="24"/>
          <w:szCs w:val="24"/>
        </w:rPr>
        <w:t xml:space="preserve"> für den Betreuungsfall seine Selbstbestimmung erhalten will, sollte bereits in gesunden Tagen vorsorgen und eine Vorsorgevollmacht aufsetzen lassen.</w:t>
      </w:r>
    </w:p>
    <w:p w14:paraId="67A6D3D8" w14:textId="77777777" w:rsidR="00723EA5" w:rsidRPr="00723EA5" w:rsidRDefault="00723EA5" w:rsidP="00723EA5">
      <w:pPr>
        <w:pStyle w:val="KeinLeerraum"/>
        <w:ind w:left="2835"/>
        <w:jc w:val="both"/>
        <w:rPr>
          <w:iCs/>
          <w:sz w:val="24"/>
          <w:szCs w:val="24"/>
        </w:rPr>
      </w:pPr>
    </w:p>
    <w:p w14:paraId="57D49E62" w14:textId="2EC434EE" w:rsidR="00723EA5" w:rsidRPr="00723EA5" w:rsidRDefault="0011696F" w:rsidP="00723EA5">
      <w:pPr>
        <w:pStyle w:val="KeinLeerraum"/>
        <w:ind w:left="2835"/>
        <w:jc w:val="both"/>
        <w:rPr>
          <w:b/>
          <w:iCs/>
          <w:sz w:val="24"/>
          <w:szCs w:val="24"/>
        </w:rPr>
      </w:pPr>
      <w:r w:rsidRPr="006051EC">
        <w:rPr>
          <w:b/>
          <w:iCs/>
          <w:sz w:val="24"/>
          <w:szCs w:val="24"/>
        </w:rPr>
        <w:t>Bevollmächtig</w:t>
      </w:r>
      <w:r w:rsidR="002208E5">
        <w:rPr>
          <w:b/>
          <w:iCs/>
          <w:sz w:val="24"/>
          <w:szCs w:val="24"/>
        </w:rPr>
        <w:t>t</w:t>
      </w:r>
      <w:bookmarkStart w:id="0" w:name="_GoBack"/>
      <w:bookmarkEnd w:id="0"/>
      <w:r w:rsidRPr="006051EC">
        <w:rPr>
          <w:b/>
          <w:iCs/>
          <w:sz w:val="24"/>
          <w:szCs w:val="24"/>
        </w:rPr>
        <w:t>e</w:t>
      </w:r>
      <w:r w:rsidR="00723EA5" w:rsidRPr="006051EC">
        <w:rPr>
          <w:b/>
          <w:iCs/>
          <w:sz w:val="24"/>
          <w:szCs w:val="24"/>
        </w:rPr>
        <w:t xml:space="preserve"> </w:t>
      </w:r>
      <w:r w:rsidR="007D4BC2" w:rsidRPr="006051EC">
        <w:rPr>
          <w:b/>
          <w:iCs/>
          <w:sz w:val="24"/>
          <w:szCs w:val="24"/>
        </w:rPr>
        <w:t>im Bedarfsfall</w:t>
      </w:r>
      <w:r w:rsidR="00723EA5" w:rsidRPr="006051EC">
        <w:rPr>
          <w:b/>
          <w:iCs/>
          <w:sz w:val="24"/>
          <w:szCs w:val="24"/>
        </w:rPr>
        <w:t xml:space="preserve"> schnell </w:t>
      </w:r>
      <w:r w:rsidRPr="006051EC">
        <w:rPr>
          <w:b/>
          <w:iCs/>
          <w:sz w:val="24"/>
          <w:szCs w:val="24"/>
        </w:rPr>
        <w:t>bekannt</w:t>
      </w:r>
    </w:p>
    <w:p w14:paraId="0619EC20" w14:textId="05DF1BA9" w:rsidR="00723EA5" w:rsidRPr="00723EA5" w:rsidRDefault="00723EA5" w:rsidP="00723EA5">
      <w:pPr>
        <w:pStyle w:val="KeinLeerraum"/>
        <w:ind w:left="2835"/>
        <w:jc w:val="both"/>
        <w:rPr>
          <w:iCs/>
          <w:sz w:val="24"/>
          <w:szCs w:val="24"/>
        </w:rPr>
      </w:pPr>
      <w:r w:rsidRPr="00723EA5">
        <w:rPr>
          <w:iCs/>
          <w:sz w:val="24"/>
          <w:szCs w:val="24"/>
        </w:rPr>
        <w:t>Mit einer V</w:t>
      </w:r>
      <w:r>
        <w:rPr>
          <w:iCs/>
          <w:sz w:val="24"/>
          <w:szCs w:val="24"/>
        </w:rPr>
        <w:t>orsorgev</w:t>
      </w:r>
      <w:r w:rsidRPr="00723EA5">
        <w:rPr>
          <w:iCs/>
          <w:sz w:val="24"/>
          <w:szCs w:val="24"/>
        </w:rPr>
        <w:t xml:space="preserve">ollmacht kann jeder bestimmen, wer im Betreuungsfall seine Interessen und Belange wahrnehmen soll. Doch leider haben die Gerichte oft Schwierigkeiten festzustellen, ob ein Betreuungsbedürftiger eine Vorsorgevollmacht verfasst hat. Abhilfe schafft hier ein Eintrag im Zentralen Vorsorgeregister der </w:t>
      </w:r>
      <w:r w:rsidRPr="0027753D">
        <w:rPr>
          <w:iCs/>
          <w:sz w:val="24"/>
          <w:szCs w:val="24"/>
        </w:rPr>
        <w:t xml:space="preserve">Bundesnotarkammer (ZVR). Bisher wurden dort </w:t>
      </w:r>
      <w:r w:rsidR="0027753D" w:rsidRPr="0027753D">
        <w:rPr>
          <w:iCs/>
          <w:sz w:val="24"/>
          <w:szCs w:val="24"/>
        </w:rPr>
        <w:t>fast</w:t>
      </w:r>
      <w:r w:rsidRPr="0027753D">
        <w:rPr>
          <w:iCs/>
          <w:sz w:val="24"/>
          <w:szCs w:val="24"/>
        </w:rPr>
        <w:t xml:space="preserve"> </w:t>
      </w:r>
      <w:r w:rsidR="0027753D" w:rsidRPr="0027753D">
        <w:rPr>
          <w:iCs/>
          <w:sz w:val="24"/>
          <w:szCs w:val="24"/>
        </w:rPr>
        <w:t>5</w:t>
      </w:r>
      <w:r w:rsidRPr="0027753D">
        <w:rPr>
          <w:iCs/>
          <w:sz w:val="24"/>
          <w:szCs w:val="24"/>
        </w:rPr>
        <w:t>,</w:t>
      </w:r>
      <w:r w:rsidR="0027753D" w:rsidRPr="0027753D">
        <w:rPr>
          <w:iCs/>
          <w:sz w:val="24"/>
          <w:szCs w:val="24"/>
        </w:rPr>
        <w:t>7</w:t>
      </w:r>
      <w:r w:rsidRPr="0027753D">
        <w:rPr>
          <w:iCs/>
          <w:sz w:val="24"/>
          <w:szCs w:val="24"/>
        </w:rPr>
        <w:t xml:space="preserve"> Mio. </w:t>
      </w:r>
      <w:r w:rsidR="00557778">
        <w:rPr>
          <w:iCs/>
          <w:sz w:val="24"/>
          <w:szCs w:val="24"/>
        </w:rPr>
        <w:t>Vorsorgeverfügungen</w:t>
      </w:r>
      <w:r w:rsidRPr="0027753D">
        <w:rPr>
          <w:iCs/>
          <w:sz w:val="24"/>
          <w:szCs w:val="24"/>
        </w:rPr>
        <w:t xml:space="preserve"> registriert</w:t>
      </w:r>
      <w:r w:rsidRPr="006051EC">
        <w:rPr>
          <w:iCs/>
          <w:sz w:val="24"/>
          <w:szCs w:val="24"/>
        </w:rPr>
        <w:t>. Mit dem Vorsorgeregister können Gerichte schnell</w:t>
      </w:r>
      <w:r w:rsidR="00057161" w:rsidRPr="006051EC">
        <w:rPr>
          <w:iCs/>
          <w:sz w:val="24"/>
          <w:szCs w:val="24"/>
        </w:rPr>
        <w:t xml:space="preserve"> ermitteln</w:t>
      </w:r>
      <w:r w:rsidRPr="006051EC">
        <w:rPr>
          <w:iCs/>
          <w:sz w:val="24"/>
          <w:szCs w:val="24"/>
        </w:rPr>
        <w:t xml:space="preserve">, </w:t>
      </w:r>
      <w:r w:rsidR="00057161" w:rsidRPr="006051EC">
        <w:rPr>
          <w:iCs/>
          <w:sz w:val="24"/>
          <w:szCs w:val="24"/>
        </w:rPr>
        <w:t>wem eine Vorsorgevollmacht erteilt wurde</w:t>
      </w:r>
      <w:r w:rsidRPr="006051EC">
        <w:rPr>
          <w:iCs/>
          <w:sz w:val="24"/>
          <w:szCs w:val="24"/>
        </w:rPr>
        <w:t>. Zur Dokumenta</w:t>
      </w:r>
      <w:r w:rsidRPr="0027753D">
        <w:rPr>
          <w:iCs/>
          <w:sz w:val="24"/>
          <w:szCs w:val="24"/>
        </w:rPr>
        <w:t>tion</w:t>
      </w:r>
      <w:r w:rsidRPr="00723EA5">
        <w:rPr>
          <w:iCs/>
          <w:sz w:val="24"/>
          <w:szCs w:val="24"/>
        </w:rPr>
        <w:t xml:space="preserve"> erhalten die Vollmachtgeber eine ZVR-Card im Scheckkartenformat mit Angaben zum Vollmachtgeber und zur gewählten Vertrauensperson, dem Aufbewahrungsort der Urkunde und Angaben über zusätzliche Eintragungen wie Betreuungs- oder Patientenverfügung. Die Dokumente selbst werden im Vorsorgeregister aus Datenschutzgründen nicht abgelegt.</w:t>
      </w:r>
    </w:p>
    <w:p w14:paraId="2B843542" w14:textId="77777777" w:rsidR="00723EA5" w:rsidRPr="00723EA5" w:rsidRDefault="00723EA5" w:rsidP="00723EA5">
      <w:pPr>
        <w:pStyle w:val="KeinLeerraum"/>
        <w:ind w:left="2835"/>
        <w:jc w:val="both"/>
        <w:rPr>
          <w:iCs/>
          <w:sz w:val="24"/>
          <w:szCs w:val="24"/>
        </w:rPr>
      </w:pPr>
    </w:p>
    <w:p w14:paraId="4026E4BA" w14:textId="7087624E" w:rsidR="00A959DD" w:rsidRPr="007366F1" w:rsidRDefault="007366F1" w:rsidP="00723EA5">
      <w:pPr>
        <w:pStyle w:val="KeinLeerraum"/>
        <w:ind w:left="2835"/>
        <w:jc w:val="both"/>
        <w:rPr>
          <w:b/>
          <w:iCs/>
          <w:sz w:val="24"/>
          <w:szCs w:val="24"/>
        </w:rPr>
      </w:pPr>
      <w:r w:rsidRPr="007366F1">
        <w:rPr>
          <w:b/>
          <w:iCs/>
          <w:sz w:val="24"/>
          <w:szCs w:val="24"/>
        </w:rPr>
        <w:t>Bevollmächtigte werden umgehend informiert</w:t>
      </w:r>
    </w:p>
    <w:p w14:paraId="5335629E" w14:textId="0FD8911F" w:rsidR="00723EA5" w:rsidRPr="00723EA5" w:rsidRDefault="00723EA5" w:rsidP="00723EA5">
      <w:pPr>
        <w:pStyle w:val="KeinLeerraum"/>
        <w:ind w:left="2835"/>
        <w:jc w:val="both"/>
        <w:rPr>
          <w:iCs/>
          <w:sz w:val="24"/>
          <w:szCs w:val="24"/>
        </w:rPr>
      </w:pPr>
      <w:r w:rsidRPr="00723EA5">
        <w:rPr>
          <w:iCs/>
          <w:sz w:val="24"/>
          <w:szCs w:val="24"/>
        </w:rPr>
        <w:t xml:space="preserve">Registrierung und ZVR-Card verhindern überflüssige Betreuungen. Denn nur wenn für einen Betroffenen kein Bevollmächtigter ausfindig gemacht werden kann, bestellt das Betreuungsgericht einen Betreuer. </w:t>
      </w:r>
      <w:r w:rsidRPr="00382EC0">
        <w:rPr>
          <w:iCs/>
          <w:sz w:val="24"/>
          <w:szCs w:val="24"/>
        </w:rPr>
        <w:t xml:space="preserve">Der Eintrag im ZVR kostet einmalig zwischen </w:t>
      </w:r>
      <w:r w:rsidR="00382EC0" w:rsidRPr="00382EC0">
        <w:rPr>
          <w:iCs/>
          <w:sz w:val="24"/>
          <w:szCs w:val="24"/>
        </w:rPr>
        <w:t>20 und 30</w:t>
      </w:r>
      <w:r w:rsidRPr="00382EC0">
        <w:rPr>
          <w:iCs/>
          <w:sz w:val="24"/>
          <w:szCs w:val="24"/>
        </w:rPr>
        <w:t xml:space="preserve"> Euro. Die</w:t>
      </w:r>
      <w:r w:rsidRPr="00723EA5">
        <w:rPr>
          <w:iCs/>
          <w:sz w:val="24"/>
          <w:szCs w:val="24"/>
        </w:rPr>
        <w:t xml:space="preserve"> ZVR-Card ist kostenlos. Die ZVR-Card passt ins Portemonnaie und kann immer bei sich getragen werden – eine weitere Sicherheit, dass im Bedarfsfall der Bevollmächtigte umgehend benachrichtigt werden kann.</w:t>
      </w:r>
    </w:p>
    <w:p w14:paraId="6B1C434A" w14:textId="71560C9C" w:rsidR="00723EA5" w:rsidRDefault="00723EA5" w:rsidP="00723EA5">
      <w:pPr>
        <w:pStyle w:val="KeinLeerraum"/>
        <w:ind w:left="2835"/>
        <w:jc w:val="both"/>
        <w:rPr>
          <w:iCs/>
          <w:sz w:val="24"/>
          <w:szCs w:val="24"/>
        </w:rPr>
      </w:pPr>
    </w:p>
    <w:p w14:paraId="0D2EBB9B" w14:textId="775990FA" w:rsidR="007366F1" w:rsidRPr="007366F1" w:rsidRDefault="007366F1" w:rsidP="00723EA5">
      <w:pPr>
        <w:pStyle w:val="KeinLeerraum"/>
        <w:ind w:left="2835"/>
        <w:jc w:val="both"/>
        <w:rPr>
          <w:b/>
          <w:iCs/>
          <w:sz w:val="24"/>
          <w:szCs w:val="24"/>
        </w:rPr>
      </w:pPr>
      <w:r w:rsidRPr="007366F1">
        <w:rPr>
          <w:b/>
          <w:iCs/>
          <w:sz w:val="24"/>
          <w:szCs w:val="24"/>
        </w:rPr>
        <w:t>Notar unterstützt bei der Ausgestaltung</w:t>
      </w:r>
    </w:p>
    <w:p w14:paraId="78B16172" w14:textId="675E7479" w:rsidR="00723EA5" w:rsidRPr="00723EA5" w:rsidRDefault="00723EA5" w:rsidP="00723EA5">
      <w:pPr>
        <w:pStyle w:val="KeinLeerraum"/>
        <w:ind w:left="2835"/>
        <w:jc w:val="both"/>
        <w:rPr>
          <w:iCs/>
          <w:sz w:val="24"/>
          <w:szCs w:val="24"/>
        </w:rPr>
      </w:pPr>
      <w:r w:rsidRPr="00723EA5">
        <w:rPr>
          <w:iCs/>
          <w:sz w:val="24"/>
          <w:szCs w:val="24"/>
        </w:rPr>
        <w:t>Wer eine Vorsorgevollmacht erstellen will, sollte sich unbedingt von einem Notar beraten lassen. Dieser hilft bei der Erforschung des persönlichen Willens und bringt diesen in rechtssichere und beweiskräftige Formulierungen. Dabei stellt er die Identität des Vollmachtgebers in der Urkunde verbindlich fest.</w:t>
      </w:r>
      <w:r w:rsidR="006051EC">
        <w:rPr>
          <w:iCs/>
          <w:sz w:val="24"/>
          <w:szCs w:val="24"/>
        </w:rPr>
        <w:t xml:space="preserve"> </w:t>
      </w:r>
      <w:r w:rsidRPr="00723EA5">
        <w:rPr>
          <w:iCs/>
          <w:sz w:val="24"/>
          <w:szCs w:val="24"/>
        </w:rPr>
        <w:t xml:space="preserve">Auf </w:t>
      </w:r>
      <w:r w:rsidRPr="00723EA5">
        <w:rPr>
          <w:iCs/>
          <w:sz w:val="24"/>
          <w:szCs w:val="24"/>
        </w:rPr>
        <w:lastRenderedPageBreak/>
        <w:t xml:space="preserve">Musterformulare </w:t>
      </w:r>
      <w:r w:rsidRPr="007812DC">
        <w:rPr>
          <w:iCs/>
          <w:sz w:val="24"/>
          <w:szCs w:val="24"/>
        </w:rPr>
        <w:t xml:space="preserve">im Internet kann sich hingegen niemand verlassen. Diese werden kaum einer persönlichen Lebenssituation gerecht. Deshalb </w:t>
      </w:r>
      <w:r w:rsidR="007812DC" w:rsidRPr="007812DC">
        <w:rPr>
          <w:iCs/>
          <w:sz w:val="24"/>
          <w:szCs w:val="24"/>
        </w:rPr>
        <w:t>waren</w:t>
      </w:r>
      <w:r w:rsidRPr="007812DC">
        <w:rPr>
          <w:iCs/>
          <w:sz w:val="24"/>
          <w:szCs w:val="24"/>
        </w:rPr>
        <w:t xml:space="preserve"> auch über </w:t>
      </w:r>
      <w:r w:rsidR="007812DC" w:rsidRPr="007812DC">
        <w:rPr>
          <w:iCs/>
          <w:sz w:val="24"/>
          <w:szCs w:val="24"/>
        </w:rPr>
        <w:t>8</w:t>
      </w:r>
      <w:r w:rsidRPr="007812DC">
        <w:rPr>
          <w:iCs/>
          <w:sz w:val="24"/>
          <w:szCs w:val="24"/>
        </w:rPr>
        <w:t xml:space="preserve">0 Prozent der </w:t>
      </w:r>
      <w:r w:rsidR="007812DC" w:rsidRPr="007812DC">
        <w:rPr>
          <w:iCs/>
          <w:sz w:val="24"/>
          <w:szCs w:val="24"/>
        </w:rPr>
        <w:t>im Jahr 2022 neu</w:t>
      </w:r>
      <w:r w:rsidRPr="007812DC">
        <w:rPr>
          <w:iCs/>
          <w:sz w:val="24"/>
          <w:szCs w:val="24"/>
        </w:rPr>
        <w:t xml:space="preserve"> registrierten Vollmachten notariell.</w:t>
      </w:r>
    </w:p>
    <w:p w14:paraId="47F4419C" w14:textId="77777777" w:rsidR="00723EA5" w:rsidRPr="00723EA5" w:rsidRDefault="00723EA5" w:rsidP="00723EA5">
      <w:pPr>
        <w:pStyle w:val="KeinLeerraum"/>
        <w:ind w:left="2835"/>
        <w:jc w:val="both"/>
        <w:rPr>
          <w:iCs/>
          <w:sz w:val="24"/>
          <w:szCs w:val="24"/>
        </w:rPr>
      </w:pPr>
    </w:p>
    <w:p w14:paraId="7F88D8A1" w14:textId="0C34BCCD" w:rsidR="005C0623" w:rsidRDefault="00723EA5" w:rsidP="00AE2F36">
      <w:pPr>
        <w:pStyle w:val="KeinLeerraum"/>
        <w:ind w:left="2835"/>
        <w:jc w:val="both"/>
        <w:rPr>
          <w:iCs/>
          <w:sz w:val="24"/>
          <w:szCs w:val="24"/>
        </w:rPr>
      </w:pPr>
      <w:r w:rsidRPr="00723EA5">
        <w:rPr>
          <w:iCs/>
          <w:sz w:val="24"/>
          <w:szCs w:val="24"/>
        </w:rPr>
        <w:t>Neben der Vorsorgevollmacht gibt es Betreuungs- und Patientenverfügungen. Mit einer Betreuungsverfügung kann die Person des Betreuers bestimmt und es können Wünsche hinsichtlich der Ausgestaltung der gerichtlichen Betreuung geäußert werden. Mit einer Patientenverfügung können Weisungen bezüglich bestimmter Behandlungsmethoden erteilt werden.</w:t>
      </w:r>
    </w:p>
    <w:p w14:paraId="6A792492" w14:textId="77777777" w:rsidR="001F589D" w:rsidRDefault="001F589D" w:rsidP="00AE2F36">
      <w:pPr>
        <w:pStyle w:val="KeinLeerraum"/>
        <w:ind w:left="2835"/>
        <w:jc w:val="both"/>
        <w:rPr>
          <w:iCs/>
          <w:sz w:val="24"/>
          <w:szCs w:val="24"/>
        </w:rPr>
      </w:pPr>
    </w:p>
    <w:p w14:paraId="1B8ED3E3" w14:textId="7DC78653" w:rsidR="0047364A" w:rsidRDefault="003E1932" w:rsidP="00AE2F36">
      <w:pPr>
        <w:pStyle w:val="KeinLeerraum"/>
        <w:ind w:left="2835"/>
        <w:jc w:val="both"/>
        <w:rPr>
          <w:iCs/>
          <w:sz w:val="24"/>
          <w:szCs w:val="24"/>
        </w:rPr>
      </w:pPr>
      <w:r w:rsidRPr="00C14E25">
        <w:rPr>
          <w:iCs/>
          <w:sz w:val="24"/>
          <w:szCs w:val="24"/>
        </w:rPr>
        <w:t xml:space="preserve">Wer sich im Vorfeld von einem Notar zu diesem Thema beraten lassen möchte, findet im Internet unter </w:t>
      </w:r>
      <w:hyperlink r:id="rId7" w:history="1">
        <w:r w:rsidR="007F1D35" w:rsidRPr="007F1D35">
          <w:rPr>
            <w:rStyle w:val="Hyperlink"/>
            <w:iCs/>
            <w:sz w:val="24"/>
            <w:szCs w:val="24"/>
          </w:rPr>
          <w:t>https://notar.de/</w:t>
        </w:r>
      </w:hyperlink>
      <w:r w:rsidRPr="00C14E25">
        <w:rPr>
          <w:iCs/>
          <w:sz w:val="24"/>
          <w:szCs w:val="24"/>
        </w:rPr>
        <w:t xml:space="preserve"> den richtigen Ansprechpartner. Besuchen Sie auch das Online-Verbraucherportal der Notarkammer unter </w:t>
      </w:r>
      <w:hyperlink r:id="rId8" w:history="1">
        <w:r w:rsidRPr="00FA0E29">
          <w:rPr>
            <w:rStyle w:val="Hyperlink"/>
            <w:iCs/>
            <w:sz w:val="24"/>
            <w:szCs w:val="24"/>
          </w:rPr>
          <w:t>https://ratgeber-notar.de</w:t>
        </w:r>
      </w:hyperlink>
      <w:r w:rsidR="007F1D35">
        <w:rPr>
          <w:rStyle w:val="Hyperlink"/>
          <w:iCs/>
          <w:sz w:val="24"/>
          <w:szCs w:val="24"/>
        </w:rPr>
        <w:t>/</w:t>
      </w:r>
      <w:r w:rsidRPr="00C14E25">
        <w:rPr>
          <w:iCs/>
          <w:sz w:val="24"/>
          <w:szCs w:val="24"/>
        </w:rPr>
        <w:t>.</w:t>
      </w:r>
    </w:p>
    <w:p w14:paraId="457B2480" w14:textId="77777777" w:rsidR="003E1932" w:rsidRPr="00975DA2" w:rsidRDefault="003E1932" w:rsidP="00AE2F36">
      <w:pPr>
        <w:pStyle w:val="KeinLeerraum"/>
        <w:ind w:left="2835"/>
        <w:jc w:val="both"/>
        <w:rPr>
          <w:sz w:val="24"/>
          <w:szCs w:val="24"/>
        </w:rPr>
      </w:pPr>
    </w:p>
    <w:p w14:paraId="5163683B" w14:textId="5E7A90F0" w:rsidR="0047364A" w:rsidRPr="00975DA2" w:rsidRDefault="0047364A" w:rsidP="00AE2F36">
      <w:pPr>
        <w:ind w:left="2835"/>
        <w:jc w:val="both"/>
        <w:rPr>
          <w:sz w:val="24"/>
          <w:szCs w:val="24"/>
        </w:rPr>
      </w:pPr>
      <w:r w:rsidRPr="00975DA2">
        <w:rPr>
          <w:sz w:val="24"/>
          <w:szCs w:val="24"/>
        </w:rPr>
        <w:t xml:space="preserve">Textumfang ca. </w:t>
      </w:r>
      <w:r w:rsidR="00E8526A">
        <w:rPr>
          <w:sz w:val="24"/>
          <w:szCs w:val="24"/>
        </w:rPr>
        <w:t>3</w:t>
      </w:r>
      <w:r>
        <w:rPr>
          <w:sz w:val="24"/>
          <w:szCs w:val="24"/>
        </w:rPr>
        <w:t>.</w:t>
      </w:r>
      <w:r w:rsidR="006051EC">
        <w:rPr>
          <w:sz w:val="24"/>
          <w:szCs w:val="24"/>
        </w:rPr>
        <w:t>016</w:t>
      </w:r>
      <w:r w:rsidR="004C329F" w:rsidRPr="00975DA2">
        <w:rPr>
          <w:sz w:val="24"/>
          <w:szCs w:val="24"/>
        </w:rPr>
        <w:t xml:space="preserve"> </w:t>
      </w:r>
      <w:r w:rsidRPr="00975DA2">
        <w:rPr>
          <w:sz w:val="24"/>
          <w:szCs w:val="24"/>
        </w:rPr>
        <w:t>Zeichen inkl. Leerzeichen</w:t>
      </w:r>
    </w:p>
    <w:p w14:paraId="6DA2852F" w14:textId="77777777" w:rsidR="0047364A" w:rsidRPr="00430C64" w:rsidRDefault="0047364A" w:rsidP="00AE2F36">
      <w:pPr>
        <w:ind w:left="2835" w:right="28"/>
        <w:jc w:val="both"/>
        <w:rPr>
          <w:b/>
          <w:sz w:val="24"/>
          <w:szCs w:val="24"/>
        </w:rPr>
      </w:pPr>
    </w:p>
    <w:p w14:paraId="0EDC4F8B" w14:textId="77777777" w:rsidR="0047364A" w:rsidRPr="00430C64" w:rsidRDefault="0047364A" w:rsidP="00AE2F36">
      <w:pPr>
        <w:ind w:left="2835"/>
        <w:jc w:val="both"/>
        <w:rPr>
          <w:sz w:val="24"/>
          <w:szCs w:val="24"/>
        </w:rPr>
      </w:pPr>
      <w:r w:rsidRPr="00430C64">
        <w:rPr>
          <w:sz w:val="24"/>
          <w:szCs w:val="24"/>
        </w:rPr>
        <w:t>Redaktion und Ansprechpartner:</w:t>
      </w:r>
    </w:p>
    <w:p w14:paraId="34E43787" w14:textId="77777777" w:rsidR="0047364A" w:rsidRPr="00430C64" w:rsidRDefault="0047364A" w:rsidP="00AE2F36">
      <w:pPr>
        <w:ind w:left="2835"/>
        <w:jc w:val="both"/>
        <w:rPr>
          <w:sz w:val="24"/>
          <w:szCs w:val="24"/>
        </w:rPr>
      </w:pPr>
    </w:p>
    <w:p w14:paraId="3232FA14" w14:textId="77777777" w:rsidR="0047364A" w:rsidRPr="006051EC" w:rsidRDefault="0047364A" w:rsidP="00AE2F36">
      <w:pPr>
        <w:ind w:left="2835"/>
        <w:jc w:val="both"/>
        <w:rPr>
          <w:sz w:val="24"/>
          <w:szCs w:val="24"/>
          <w:lang w:val="en-US"/>
        </w:rPr>
      </w:pPr>
      <w:r w:rsidRPr="006051EC">
        <w:rPr>
          <w:sz w:val="24"/>
          <w:szCs w:val="24"/>
          <w:lang w:val="en-US"/>
        </w:rPr>
        <w:t>Azet</w:t>
      </w:r>
      <w:r w:rsidRPr="006051EC">
        <w:rPr>
          <w:b/>
          <w:sz w:val="24"/>
          <w:szCs w:val="24"/>
          <w:lang w:val="en-US"/>
        </w:rPr>
        <w:t>PR</w:t>
      </w:r>
    </w:p>
    <w:p w14:paraId="68B0A868" w14:textId="77777777" w:rsidR="0047364A" w:rsidRPr="006051EC" w:rsidRDefault="0047364A" w:rsidP="00AE2F36">
      <w:pPr>
        <w:ind w:left="2835"/>
        <w:jc w:val="both"/>
        <w:rPr>
          <w:sz w:val="24"/>
          <w:szCs w:val="24"/>
          <w:lang w:val="en-US"/>
        </w:rPr>
      </w:pPr>
      <w:r w:rsidRPr="006051EC">
        <w:rPr>
          <w:sz w:val="24"/>
          <w:szCs w:val="24"/>
          <w:lang w:val="en-US"/>
        </w:rPr>
        <w:t>INTERNATIONAL PUBLIC RELATIONS GmbH</w:t>
      </w:r>
    </w:p>
    <w:p w14:paraId="5C398123" w14:textId="77777777" w:rsidR="0047364A" w:rsidRPr="006051EC" w:rsidRDefault="002C3D76" w:rsidP="00AE2F36">
      <w:pPr>
        <w:ind w:left="2835"/>
        <w:rPr>
          <w:sz w:val="24"/>
          <w:szCs w:val="24"/>
          <w:lang w:val="en-US"/>
        </w:rPr>
      </w:pPr>
      <w:r w:rsidRPr="006051EC">
        <w:rPr>
          <w:sz w:val="24"/>
          <w:szCs w:val="24"/>
          <w:lang w:val="en-US"/>
        </w:rPr>
        <w:t>Thomas Spengler</w:t>
      </w:r>
    </w:p>
    <w:p w14:paraId="251BF003" w14:textId="77777777" w:rsidR="0047364A" w:rsidRPr="00430C64" w:rsidRDefault="0047364A" w:rsidP="00AE2F36">
      <w:pPr>
        <w:ind w:left="2835"/>
        <w:rPr>
          <w:sz w:val="24"/>
          <w:szCs w:val="24"/>
        </w:rPr>
      </w:pPr>
      <w:r w:rsidRPr="00430C64">
        <w:rPr>
          <w:sz w:val="24"/>
          <w:szCs w:val="24"/>
        </w:rPr>
        <w:t>Wrangelstraße 111</w:t>
      </w:r>
      <w:r w:rsidRPr="00430C64">
        <w:rPr>
          <w:sz w:val="24"/>
          <w:szCs w:val="24"/>
        </w:rPr>
        <w:br/>
        <w:t>20253 Hamburg</w:t>
      </w:r>
      <w:r w:rsidRPr="00430C64">
        <w:rPr>
          <w:sz w:val="24"/>
          <w:szCs w:val="24"/>
        </w:rPr>
        <w:br/>
        <w:t>Telefon: 040/41 32 70-</w:t>
      </w:r>
      <w:r w:rsidR="002C3D76">
        <w:rPr>
          <w:sz w:val="24"/>
          <w:szCs w:val="24"/>
        </w:rPr>
        <w:t>21</w:t>
      </w:r>
      <w:r w:rsidRPr="00430C64">
        <w:rPr>
          <w:sz w:val="24"/>
          <w:szCs w:val="24"/>
        </w:rPr>
        <w:br/>
        <w:t>Fax: 040/41 3270-70</w:t>
      </w:r>
    </w:p>
    <w:p w14:paraId="3BD363D4" w14:textId="77777777" w:rsidR="0047364A" w:rsidRPr="00430C64" w:rsidRDefault="0047364A" w:rsidP="00AE2F36">
      <w:pPr>
        <w:ind w:left="2835"/>
        <w:rPr>
          <w:rStyle w:val="Hyperlink"/>
          <w:sz w:val="24"/>
          <w:szCs w:val="24"/>
        </w:rPr>
      </w:pPr>
      <w:r w:rsidRPr="00430C64">
        <w:rPr>
          <w:sz w:val="24"/>
          <w:szCs w:val="24"/>
        </w:rPr>
        <w:t xml:space="preserve">E-Mail: </w:t>
      </w:r>
      <w:hyperlink r:id="rId9" w:history="1">
        <w:r w:rsidR="002C3D76">
          <w:rPr>
            <w:rStyle w:val="Hyperlink"/>
            <w:sz w:val="24"/>
            <w:szCs w:val="24"/>
          </w:rPr>
          <w:t>spengler@azetpr.com</w:t>
        </w:r>
      </w:hyperlink>
    </w:p>
    <w:p w14:paraId="7F8AC85E" w14:textId="56268416" w:rsidR="003F3ACE" w:rsidRPr="003E1932" w:rsidRDefault="002208E5" w:rsidP="00AE2F36">
      <w:pPr>
        <w:ind w:left="2835"/>
        <w:rPr>
          <w:sz w:val="24"/>
          <w:szCs w:val="24"/>
        </w:rPr>
      </w:pPr>
      <w:hyperlink r:id="rId10" w:history="1">
        <w:r w:rsidR="0047364A" w:rsidRPr="00AC200D">
          <w:rPr>
            <w:rStyle w:val="Hyperlink"/>
            <w:sz w:val="24"/>
            <w:szCs w:val="24"/>
          </w:rPr>
          <w:t>www.azetpr.com</w:t>
        </w:r>
      </w:hyperlink>
    </w:p>
    <w:sectPr w:rsidR="003F3ACE" w:rsidRPr="003E1932" w:rsidSect="000E335F">
      <w:headerReference w:type="first" r:id="rId11"/>
      <w:pgSz w:w="11906" w:h="16838"/>
      <w:pgMar w:top="1417" w:right="1417" w:bottom="1134" w:left="1417"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E4CCA" w14:textId="77777777" w:rsidR="005C00D3" w:rsidRDefault="005C00D3">
      <w:r>
        <w:separator/>
      </w:r>
    </w:p>
  </w:endnote>
  <w:endnote w:type="continuationSeparator" w:id="0">
    <w:p w14:paraId="1CB8C2A5" w14:textId="77777777" w:rsidR="005C00D3" w:rsidRDefault="005C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C5C19" w14:textId="77777777" w:rsidR="005C00D3" w:rsidRDefault="005C00D3">
      <w:r>
        <w:separator/>
      </w:r>
    </w:p>
  </w:footnote>
  <w:footnote w:type="continuationSeparator" w:id="0">
    <w:p w14:paraId="704124AC" w14:textId="77777777" w:rsidR="005C00D3" w:rsidRDefault="005C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833D" w14:textId="77777777" w:rsidR="000E335F" w:rsidRPr="000E335F" w:rsidRDefault="002208E5" w:rsidP="000E335F">
    <w:pPr>
      <w:tabs>
        <w:tab w:val="center" w:pos="4536"/>
        <w:tab w:val="right" w:pos="9072"/>
      </w:tabs>
      <w:overflowPunct/>
      <w:autoSpaceDE/>
      <w:autoSpaceDN/>
      <w:adjustRightInd/>
      <w:textAlignment w:val="auto"/>
      <w:rPr>
        <w:rFonts w:ascii="Calibri" w:eastAsia="Calibri" w:hAnsi="Calibri"/>
        <w:sz w:val="22"/>
        <w:szCs w:val="22"/>
        <w:lang w:eastAsia="en-US"/>
      </w:rPr>
    </w:pPr>
  </w:p>
  <w:p w14:paraId="0B7CA650" w14:textId="77777777" w:rsidR="000E335F" w:rsidRPr="000E335F" w:rsidRDefault="002208E5" w:rsidP="000E335F">
    <w:pPr>
      <w:tabs>
        <w:tab w:val="center" w:pos="4536"/>
        <w:tab w:val="right" w:pos="9072"/>
      </w:tabs>
      <w:overflowPunct/>
      <w:autoSpaceDE/>
      <w:autoSpaceDN/>
      <w:adjustRightInd/>
      <w:textAlignment w:val="auto"/>
      <w:rPr>
        <w:rFonts w:ascii="Calibri" w:eastAsia="Calibri" w:hAnsi="Calibri"/>
        <w:sz w:val="22"/>
        <w:szCs w:val="22"/>
        <w:lang w:eastAsia="en-US"/>
      </w:rPr>
    </w:pPr>
  </w:p>
  <w:p w14:paraId="4804F4CC" w14:textId="77777777" w:rsidR="00B25DDF" w:rsidRPr="00B25DDF" w:rsidRDefault="00FD4E2E" w:rsidP="00B25DDF">
    <w:pPr>
      <w:tabs>
        <w:tab w:val="center" w:pos="4536"/>
        <w:tab w:val="right" w:pos="9072"/>
      </w:tabs>
      <w:overflowPunct/>
      <w:autoSpaceDE/>
      <w:autoSpaceDN/>
      <w:adjustRightInd/>
      <w:ind w:hanging="3544"/>
      <w:jc w:val="center"/>
      <w:textAlignment w:val="auto"/>
      <w:rPr>
        <w:rFonts w:ascii="Verdana" w:eastAsia="Calibri" w:hAnsi="Verdana"/>
        <w:b/>
        <w:caps/>
        <w:sz w:val="24"/>
        <w:szCs w:val="24"/>
        <w:lang w:eastAsia="en-US"/>
      </w:rPr>
    </w:pPr>
    <w:r w:rsidRPr="00B25DDF">
      <w:rPr>
        <w:rFonts w:ascii="Verdana" w:eastAsia="Calibri" w:hAnsi="Verdana"/>
        <w:b/>
        <w:caps/>
        <w:sz w:val="24"/>
        <w:szCs w:val="24"/>
        <w:lang w:eastAsia="en-US"/>
      </w:rPr>
      <w:t>Schleswig-Holsteinische Notarkammer</w:t>
    </w:r>
  </w:p>
  <w:p w14:paraId="0130169F" w14:textId="77777777" w:rsidR="000E335F" w:rsidRPr="000E335F" w:rsidRDefault="002208E5" w:rsidP="000E335F">
    <w:pPr>
      <w:tabs>
        <w:tab w:val="center" w:pos="4536"/>
        <w:tab w:val="right" w:pos="9072"/>
      </w:tabs>
      <w:overflowPunct/>
      <w:autoSpaceDE/>
      <w:autoSpaceDN/>
      <w:adjustRightInd/>
      <w:textAlignment w:val="auto"/>
      <w:rPr>
        <w:rFonts w:ascii="Calibri" w:eastAsia="Calibri" w:hAnsi="Calibri"/>
        <w:sz w:val="22"/>
        <w:szCs w:val="22"/>
        <w:lang w:eastAsia="en-US"/>
      </w:rPr>
    </w:pPr>
  </w:p>
  <w:p w14:paraId="2CE08371" w14:textId="77777777" w:rsidR="000E335F" w:rsidRPr="000E335F" w:rsidRDefault="002208E5" w:rsidP="000E335F">
    <w:pPr>
      <w:tabs>
        <w:tab w:val="center" w:pos="4536"/>
        <w:tab w:val="right" w:pos="9072"/>
      </w:tabs>
      <w:overflowPunct/>
      <w:autoSpaceDE/>
      <w:autoSpaceDN/>
      <w:adjustRightInd/>
      <w:textAlignment w:val="auto"/>
      <w:rPr>
        <w:rFonts w:ascii="Calibri" w:eastAsia="Calibri" w:hAnsi="Calibri"/>
        <w:sz w:val="22"/>
        <w:szCs w:val="22"/>
        <w:lang w:eastAsia="en-US"/>
      </w:rPr>
    </w:pPr>
  </w:p>
  <w:p w14:paraId="3C1F49F0" w14:textId="77777777" w:rsidR="000E335F" w:rsidRPr="000E335F" w:rsidRDefault="00FD4E2E" w:rsidP="004A5578">
    <w:pPr>
      <w:tabs>
        <w:tab w:val="center" w:pos="4536"/>
        <w:tab w:val="right" w:pos="9072"/>
      </w:tabs>
      <w:overflowPunct/>
      <w:autoSpaceDE/>
      <w:autoSpaceDN/>
      <w:adjustRightInd/>
      <w:jc w:val="right"/>
      <w:textAlignment w:val="auto"/>
      <w:rPr>
        <w:rFonts w:eastAsia="Calibri"/>
        <w:sz w:val="26"/>
        <w:szCs w:val="22"/>
        <w:lang w:eastAsia="en-US"/>
      </w:rPr>
    </w:pPr>
    <w:r w:rsidRPr="000E335F">
      <w:rPr>
        <w:rFonts w:eastAsia="Calibri"/>
        <w:sz w:val="26"/>
        <w:szCs w:val="22"/>
        <w:lang w:eastAsia="en-US"/>
      </w:rPr>
      <w:t>PRESSEMITTEILUNG</w:t>
    </w:r>
  </w:p>
  <w:p w14:paraId="176450E6" w14:textId="77777777" w:rsidR="000E335F" w:rsidRPr="000E335F" w:rsidRDefault="00FD4E2E" w:rsidP="000E335F">
    <w:pPr>
      <w:tabs>
        <w:tab w:val="center" w:pos="4536"/>
        <w:tab w:val="right" w:pos="9072"/>
      </w:tabs>
      <w:overflowPunct/>
      <w:autoSpaceDE/>
      <w:autoSpaceDN/>
      <w:adjustRightInd/>
      <w:textAlignment w:val="auto"/>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59264" behindDoc="0" locked="0" layoutInCell="0" allowOverlap="1" wp14:anchorId="7FDAC29B" wp14:editId="0668AC1F">
              <wp:simplePos x="0" y="0"/>
              <wp:positionH relativeFrom="page">
                <wp:posOffset>6660515</wp:posOffset>
              </wp:positionH>
              <wp:positionV relativeFrom="page">
                <wp:posOffset>977900</wp:posOffset>
              </wp:positionV>
              <wp:extent cx="899795" cy="146050"/>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6050"/>
                      </a:xfrm>
                      <a:prstGeom prst="rect">
                        <a:avLst/>
                      </a:prstGeom>
                      <a:noFill/>
                    </wps:spPr>
                    <wps:txbx>
                      <w:txbxContent>
                        <w:p w14:paraId="789FE5D1" w14:textId="77777777" w:rsidR="000E335F" w:rsidRPr="008F5FE5" w:rsidRDefault="002208E5" w:rsidP="000E335F">
                          <w:pPr>
                            <w:ind w:left="-284"/>
                            <w:rPr>
                              <w:color w:val="FFFFFF"/>
                            </w:rPr>
                          </w:pP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7FDAC29B" id="_x0000_t202" coordsize="21600,21600" o:spt="202" path="m,l,21600r21600,l21600,xe">
              <v:stroke joinstyle="miter"/>
              <v:path gradientshapeok="t" o:connecttype="rect"/>
            </v:shapetype>
            <v:shape id="Textfeld 476" o:spid="_x0000_s1026" type="#_x0000_t202" style="position:absolute;margin-left:524.45pt;margin-top:77pt;width:70.8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lV6gEAAKsDAAAOAAAAZHJzL2Uyb0RvYy54bWysU9tu2zAMfR+wfxD0vjgp0rQx4hRdiwwD&#10;ugvQ9gMYWY6F2aJGKbGzrx8lx1mwvRV7ESSKOjznkFrd9W0jDpq8QVvI2WQqhbYKS2N3hXx92Xy4&#10;lcIHsCU0aHUhj9rLu/X7d6vO5foKa2xKTYJBrM87V8g6BJdnmVe1bsFP0GnLlxVSC4GPtMtKgo7R&#10;2ya7mk4XWYdUOkKlvefo43Ap1wm/qrQK36rK6yCaQjK3kFZK6zau2XoF+Y7A1UadaMAbWLRgLBc9&#10;Qz1CALEn8w9UaxShxypMFLYZVpVROmlgNbPpX2qea3A6aWFzvDvb5P8frPp6+E7ClIWc3yyksNBy&#10;k150HyrdlCLG2KHO+ZwTnx2nhv4j9tzppNa7J1Q/vLD4UIPd6Xsi7GoNJTOcxZfZxdMBx0eQbfcF&#10;Sy4E+4AJqK+ojfaxIYLRuVPHc3eYjFAcvF0ub5bXUii+ms0X0+vUvQzy8bEjHz5pbEXcFJK4+Qkc&#10;Dk8+RDKQjymxlsWNaZqRZOQ1MAz9tj+J3mJ5ZLqEw9zwnPOmRvolRcczU0j/cw+kpWg+W5a8nM3n&#10;ccjSgTd0Gd2OUbCKIQqpAkkxHB7CMJJ7R2ZXc43R3ns2aGMS+ejkwOdkK09E0nSa3jhyl+eU9eeP&#10;rX8DAAD//wMAUEsDBBQABgAIAAAAIQAE2MMQ3wAAAA0BAAAPAAAAZHJzL2Rvd25yZXYueG1sTI/B&#10;TsMwEETvSPyDtUjcqF0oaRriVAjRA6IXSrm78ZJE2OsodtrA17M9wW1G+zQ7U64n78QRh9gF0jCf&#10;KRBIdbAdNRr275ubHERMhqxxgVDDN0ZYV5cXpSlsONEbHnepERxCsTAa2pT6QspYt+hNnIUeiW+f&#10;YfAmsR0aaQdz4nDv5K1SmfSmI/7Qmh6fWqy/dqPX8Dyqvd+mOwovr7LJ6cd12cdG6+ur6fEBRMIp&#10;/cFwrs/VoeJOhzCSjcKxV4t8xSyr+wWvOiPzlcpAHFgtlwpkVcr/K6pfAAAA//8DAFBLAQItABQA&#10;BgAIAAAAIQC2gziS/gAAAOEBAAATAAAAAAAAAAAAAAAAAAAAAABbQ29udGVudF9UeXBlc10ueG1s&#10;UEsBAi0AFAAGAAgAAAAhADj9If/WAAAAlAEAAAsAAAAAAAAAAAAAAAAALwEAAF9yZWxzLy5yZWxz&#10;UEsBAi0AFAAGAAgAAAAhAJ61yVXqAQAAqwMAAA4AAAAAAAAAAAAAAAAALgIAAGRycy9lMm9Eb2Mu&#10;eG1sUEsBAi0AFAAGAAgAAAAhAATYwxDfAAAADQEAAA8AAAAAAAAAAAAAAAAARAQAAGRycy9kb3du&#10;cmV2LnhtbFBLBQYAAAAABAAEAPMAAABQBQAAAAA=&#10;" o:allowincell="f" filled="f" stroked="f">
              <v:textbox style="mso-fit-shape-to-text:t" inset=",0,,0">
                <w:txbxContent>
                  <w:p w14:paraId="789FE5D1" w14:textId="77777777" w:rsidR="000E335F" w:rsidRPr="008F5FE5" w:rsidRDefault="0011696F" w:rsidP="000E335F">
                    <w:pPr>
                      <w:ind w:left="-284"/>
                      <w:rPr>
                        <w:color w:val="FFFFFF"/>
                      </w:rPr>
                    </w:pPr>
                  </w:p>
                </w:txbxContent>
              </v:textbox>
              <w10:wrap anchorx="page" anchory="page"/>
            </v:shape>
          </w:pict>
        </mc:Fallback>
      </mc:AlternateContent>
    </w:r>
  </w:p>
  <w:p w14:paraId="7E80351C" w14:textId="77777777" w:rsidR="000E335F" w:rsidRDefault="002208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F5B18"/>
    <w:multiLevelType w:val="hybridMultilevel"/>
    <w:tmpl w:val="451CBD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74/23"/>
    <w:docVar w:name="Bemerkung" w:val="Textbeitrag zum Notvertretungsrecht für Ehepartner"/>
    <w:docVar w:name="DDNr" w:val="D3/D435-23"/>
    <w:docVar w:name="DDNummerPH" w:val="fehlt"/>
    <w:docVar w:name="dgnword-docGUID" w:val="{C812D176-A72C-4EDE-90A5-78DBA8635570}"/>
    <w:docVar w:name="dgnword-drafile" w:val="C:\Users\CARSTE~1.WRI\AppData\Local\Temp\draD5E2.tmp"/>
    <w:docVar w:name="dgnword-eventsink" w:val="452823528"/>
    <w:docVar w:name="DMSunterordner" w:val="181349"/>
    <w:docVar w:name="EAStatus" w:val="0"/>
    <w:docVar w:name="RADKS" w:val="#;$a;@"/>
    <w:docVar w:name="Rubrik" w:val="solleer"/>
    <w:docVar w:name="Schlagwort" w:val="solleer"/>
  </w:docVars>
  <w:rsids>
    <w:rsidRoot w:val="009747B1"/>
    <w:rsid w:val="000249ED"/>
    <w:rsid w:val="00057161"/>
    <w:rsid w:val="000669FD"/>
    <w:rsid w:val="00081250"/>
    <w:rsid w:val="00082061"/>
    <w:rsid w:val="000B3E4D"/>
    <w:rsid w:val="000D0C36"/>
    <w:rsid w:val="000D6FA1"/>
    <w:rsid w:val="000F11A1"/>
    <w:rsid w:val="0011696F"/>
    <w:rsid w:val="00146E12"/>
    <w:rsid w:val="00147FE6"/>
    <w:rsid w:val="001635A1"/>
    <w:rsid w:val="001664A2"/>
    <w:rsid w:val="001B3BF3"/>
    <w:rsid w:val="001D33A7"/>
    <w:rsid w:val="001E3313"/>
    <w:rsid w:val="001F589D"/>
    <w:rsid w:val="00214CEB"/>
    <w:rsid w:val="00215286"/>
    <w:rsid w:val="00217E34"/>
    <w:rsid w:val="002208E5"/>
    <w:rsid w:val="00247F1A"/>
    <w:rsid w:val="002572B0"/>
    <w:rsid w:val="002611BE"/>
    <w:rsid w:val="0027119F"/>
    <w:rsid w:val="0027753D"/>
    <w:rsid w:val="002844A4"/>
    <w:rsid w:val="002A14BD"/>
    <w:rsid w:val="002B0DE7"/>
    <w:rsid w:val="002C0415"/>
    <w:rsid w:val="002C3D76"/>
    <w:rsid w:val="002F4AB9"/>
    <w:rsid w:val="002F63BD"/>
    <w:rsid w:val="00311A96"/>
    <w:rsid w:val="00317A31"/>
    <w:rsid w:val="003308F4"/>
    <w:rsid w:val="00382EC0"/>
    <w:rsid w:val="00383982"/>
    <w:rsid w:val="00394734"/>
    <w:rsid w:val="00395981"/>
    <w:rsid w:val="003C0365"/>
    <w:rsid w:val="003E1932"/>
    <w:rsid w:val="003F3ACE"/>
    <w:rsid w:val="004023BD"/>
    <w:rsid w:val="00422476"/>
    <w:rsid w:val="0047364A"/>
    <w:rsid w:val="004851DD"/>
    <w:rsid w:val="004922B6"/>
    <w:rsid w:val="004A5045"/>
    <w:rsid w:val="004C329F"/>
    <w:rsid w:val="004D287E"/>
    <w:rsid w:val="005002CE"/>
    <w:rsid w:val="00507F90"/>
    <w:rsid w:val="00555C20"/>
    <w:rsid w:val="00557778"/>
    <w:rsid w:val="00595BE8"/>
    <w:rsid w:val="005B7173"/>
    <w:rsid w:val="005C00D3"/>
    <w:rsid w:val="005C0623"/>
    <w:rsid w:val="005D240E"/>
    <w:rsid w:val="005D24DF"/>
    <w:rsid w:val="005F002B"/>
    <w:rsid w:val="0060467C"/>
    <w:rsid w:val="006051EC"/>
    <w:rsid w:val="0062387E"/>
    <w:rsid w:val="00625F49"/>
    <w:rsid w:val="0063072B"/>
    <w:rsid w:val="006511D6"/>
    <w:rsid w:val="006849AF"/>
    <w:rsid w:val="00685B21"/>
    <w:rsid w:val="00691C47"/>
    <w:rsid w:val="0069445B"/>
    <w:rsid w:val="006C181D"/>
    <w:rsid w:val="006D093B"/>
    <w:rsid w:val="00712FE9"/>
    <w:rsid w:val="007213AE"/>
    <w:rsid w:val="00723EA5"/>
    <w:rsid w:val="007366F1"/>
    <w:rsid w:val="0074738D"/>
    <w:rsid w:val="00753411"/>
    <w:rsid w:val="00757403"/>
    <w:rsid w:val="007812DC"/>
    <w:rsid w:val="007B1615"/>
    <w:rsid w:val="007D0C65"/>
    <w:rsid w:val="007D3939"/>
    <w:rsid w:val="007D4BC2"/>
    <w:rsid w:val="007F1D35"/>
    <w:rsid w:val="008277CC"/>
    <w:rsid w:val="00834CC7"/>
    <w:rsid w:val="00847435"/>
    <w:rsid w:val="008B0017"/>
    <w:rsid w:val="008B0E43"/>
    <w:rsid w:val="008F51F6"/>
    <w:rsid w:val="00927D7E"/>
    <w:rsid w:val="009747B1"/>
    <w:rsid w:val="009776D9"/>
    <w:rsid w:val="00985866"/>
    <w:rsid w:val="009A2029"/>
    <w:rsid w:val="009C6193"/>
    <w:rsid w:val="009C61DF"/>
    <w:rsid w:val="009D4749"/>
    <w:rsid w:val="009F2C70"/>
    <w:rsid w:val="00A56C18"/>
    <w:rsid w:val="00A82D54"/>
    <w:rsid w:val="00A959DD"/>
    <w:rsid w:val="00AC1DAE"/>
    <w:rsid w:val="00AD6B97"/>
    <w:rsid w:val="00AE2F36"/>
    <w:rsid w:val="00B12D57"/>
    <w:rsid w:val="00B317F1"/>
    <w:rsid w:val="00B535F7"/>
    <w:rsid w:val="00B578B3"/>
    <w:rsid w:val="00B911FD"/>
    <w:rsid w:val="00BF4C0D"/>
    <w:rsid w:val="00C37A60"/>
    <w:rsid w:val="00C72418"/>
    <w:rsid w:val="00C924D8"/>
    <w:rsid w:val="00CD5B97"/>
    <w:rsid w:val="00CE3CBC"/>
    <w:rsid w:val="00CF18B0"/>
    <w:rsid w:val="00D14F6F"/>
    <w:rsid w:val="00D27B7D"/>
    <w:rsid w:val="00D50CD7"/>
    <w:rsid w:val="00D526A4"/>
    <w:rsid w:val="00DA49B2"/>
    <w:rsid w:val="00DC0709"/>
    <w:rsid w:val="00DE0821"/>
    <w:rsid w:val="00E03418"/>
    <w:rsid w:val="00E134B0"/>
    <w:rsid w:val="00E164C3"/>
    <w:rsid w:val="00E41A9C"/>
    <w:rsid w:val="00E43482"/>
    <w:rsid w:val="00E44582"/>
    <w:rsid w:val="00E44635"/>
    <w:rsid w:val="00E66583"/>
    <w:rsid w:val="00E8526A"/>
    <w:rsid w:val="00EE4B8B"/>
    <w:rsid w:val="00EE5F1F"/>
    <w:rsid w:val="00EF0F94"/>
    <w:rsid w:val="00EF3A5F"/>
    <w:rsid w:val="00F5667D"/>
    <w:rsid w:val="00F7726D"/>
    <w:rsid w:val="00F9191E"/>
    <w:rsid w:val="00FA66D7"/>
    <w:rsid w:val="00FB4427"/>
    <w:rsid w:val="00FB7177"/>
    <w:rsid w:val="00FD4E2E"/>
    <w:rsid w:val="00FF0A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ABE9"/>
  <w15:chartTrackingRefBased/>
  <w15:docId w15:val="{7219D18C-8C7E-45DA-BC40-B88158AF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36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364A"/>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47364A"/>
    <w:rPr>
      <w:rFonts w:ascii="Calibri" w:eastAsia="Calibri" w:hAnsi="Calibri" w:cs="Times New Roman"/>
    </w:rPr>
  </w:style>
  <w:style w:type="character" w:styleId="Hyperlink">
    <w:name w:val="Hyperlink"/>
    <w:unhideWhenUsed/>
    <w:rsid w:val="0047364A"/>
    <w:rPr>
      <w:color w:val="0000FF"/>
      <w:u w:val="single"/>
    </w:rPr>
  </w:style>
  <w:style w:type="paragraph" w:styleId="KeinLeerraum">
    <w:name w:val="No Spacing"/>
    <w:basedOn w:val="Standard"/>
    <w:uiPriority w:val="1"/>
    <w:qFormat/>
    <w:rsid w:val="0047364A"/>
    <w:pPr>
      <w:adjustRightInd/>
      <w:textAlignment w:val="auto"/>
    </w:pPr>
    <w:rPr>
      <w:rFonts w:eastAsia="Calibri"/>
    </w:rPr>
  </w:style>
  <w:style w:type="character" w:styleId="NichtaufgelsteErwhnung">
    <w:name w:val="Unresolved Mention"/>
    <w:basedOn w:val="Absatz-Standardschriftart"/>
    <w:uiPriority w:val="99"/>
    <w:semiHidden/>
    <w:unhideWhenUsed/>
    <w:rsid w:val="006D093B"/>
    <w:rPr>
      <w:color w:val="605E5C"/>
      <w:shd w:val="clear" w:color="auto" w:fill="E1DFDD"/>
    </w:rPr>
  </w:style>
  <w:style w:type="character" w:styleId="Kommentarzeichen">
    <w:name w:val="annotation reference"/>
    <w:basedOn w:val="Absatz-Standardschriftart"/>
    <w:uiPriority w:val="99"/>
    <w:semiHidden/>
    <w:unhideWhenUsed/>
    <w:rsid w:val="000249ED"/>
    <w:rPr>
      <w:sz w:val="16"/>
      <w:szCs w:val="16"/>
    </w:rPr>
  </w:style>
  <w:style w:type="paragraph" w:styleId="Kommentartext">
    <w:name w:val="annotation text"/>
    <w:basedOn w:val="Standard"/>
    <w:link w:val="KommentartextZchn"/>
    <w:uiPriority w:val="99"/>
    <w:unhideWhenUsed/>
    <w:rsid w:val="000249ED"/>
  </w:style>
  <w:style w:type="character" w:customStyle="1" w:styleId="KommentartextZchn">
    <w:name w:val="Kommentartext Zchn"/>
    <w:basedOn w:val="Absatz-Standardschriftart"/>
    <w:link w:val="Kommentartext"/>
    <w:uiPriority w:val="99"/>
    <w:rsid w:val="000249E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249ED"/>
    <w:rPr>
      <w:b/>
      <w:bCs/>
    </w:rPr>
  </w:style>
  <w:style w:type="character" w:customStyle="1" w:styleId="KommentarthemaZchn">
    <w:name w:val="Kommentarthema Zchn"/>
    <w:basedOn w:val="KommentartextZchn"/>
    <w:link w:val="Kommentarthema"/>
    <w:uiPriority w:val="99"/>
    <w:semiHidden/>
    <w:rsid w:val="000249E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249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49ED"/>
    <w:rPr>
      <w:rFonts w:ascii="Segoe UI" w:eastAsia="Times New Roman" w:hAnsi="Segoe UI" w:cs="Segoe UI"/>
      <w:sz w:val="18"/>
      <w:szCs w:val="18"/>
      <w:lang w:eastAsia="de-DE"/>
    </w:rPr>
  </w:style>
  <w:style w:type="paragraph" w:styleId="Listenabsatz">
    <w:name w:val="List Paragraph"/>
    <w:basedOn w:val="Standard"/>
    <w:uiPriority w:val="34"/>
    <w:qFormat/>
    <w:rsid w:val="00EF0F94"/>
    <w:pPr>
      <w:overflowPunct/>
      <w:autoSpaceDE/>
      <w:autoSpaceDN/>
      <w:adjustRightInd/>
      <w:spacing w:after="200" w:line="276" w:lineRule="auto"/>
      <w:ind w:left="720"/>
      <w:contextualSpacing/>
      <w:textAlignment w:val="auto"/>
    </w:pPr>
    <w:rPr>
      <w:rFonts w:ascii="Arial" w:eastAsiaTheme="minorHAnsi" w:hAnsi="Arial" w:cs="Arial"/>
      <w:sz w:val="22"/>
      <w:szCs w:val="22"/>
      <w:lang w:eastAsia="en-US"/>
    </w:rPr>
  </w:style>
  <w:style w:type="character" w:styleId="BesuchterLink">
    <w:name w:val="FollowedHyperlink"/>
    <w:basedOn w:val="Absatz-Standardschriftart"/>
    <w:uiPriority w:val="99"/>
    <w:semiHidden/>
    <w:unhideWhenUsed/>
    <w:rsid w:val="00081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geber-nota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a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zetpr.com/" TargetMode="External"/><Relationship Id="rId4" Type="http://schemas.openxmlformats.org/officeDocument/2006/relationships/webSettings" Target="webSettings.xml"/><Relationship Id="rId9" Type="http://schemas.openxmlformats.org/officeDocument/2006/relationships/hyperlink" Target="mailto:spengler@azetp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Spengler</dc:creator>
  <cp:keywords/>
  <dc:description/>
  <cp:lastModifiedBy>AzetPR International Public Relations GmbH</cp:lastModifiedBy>
  <cp:revision>25</cp:revision>
  <cp:lastPrinted>2023-06-23T08:59:00Z</cp:lastPrinted>
  <dcterms:created xsi:type="dcterms:W3CDTF">2023-06-20T10:05:00Z</dcterms:created>
  <dcterms:modified xsi:type="dcterms:W3CDTF">2023-11-06T07:54:00Z</dcterms:modified>
</cp:coreProperties>
</file>