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F9D9" w14:textId="568D082A" w:rsidR="00147FE6" w:rsidRPr="00147FE6" w:rsidRDefault="009C306E" w:rsidP="00147FE6">
      <w:pPr>
        <w:pStyle w:val="KeinLeerraum"/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</w:t>
      </w:r>
      <w:r w:rsidR="006F78A1">
        <w:rPr>
          <w:b/>
          <w:sz w:val="24"/>
          <w:szCs w:val="24"/>
        </w:rPr>
        <w:t>es Register</w:t>
      </w:r>
      <w:r>
        <w:rPr>
          <w:b/>
          <w:sz w:val="24"/>
          <w:szCs w:val="24"/>
        </w:rPr>
        <w:t xml:space="preserve"> für</w:t>
      </w:r>
      <w:r w:rsidR="00B450C8">
        <w:rPr>
          <w:b/>
          <w:sz w:val="24"/>
          <w:szCs w:val="24"/>
        </w:rPr>
        <w:t xml:space="preserve"> Gesellschaften bürgerlichen Rechts</w:t>
      </w:r>
    </w:p>
    <w:p w14:paraId="4D61A962" w14:textId="2AA72E40" w:rsidR="0047364A" w:rsidRDefault="00B450C8" w:rsidP="00147FE6">
      <w:pPr>
        <w:pStyle w:val="KeinLeerraum"/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BGB-Gesellschaften können Rechtspersönlichkeit </w:t>
      </w:r>
      <w:r w:rsidR="0011647C">
        <w:rPr>
          <w:b/>
          <w:sz w:val="24"/>
          <w:szCs w:val="24"/>
        </w:rPr>
        <w:t>erhalten</w:t>
      </w:r>
    </w:p>
    <w:p w14:paraId="36ABF855" w14:textId="77777777" w:rsidR="0047364A" w:rsidRPr="00975DA2" w:rsidRDefault="0047364A" w:rsidP="0047364A">
      <w:pPr>
        <w:tabs>
          <w:tab w:val="left" w:pos="1728"/>
        </w:tabs>
        <w:ind w:left="2835"/>
        <w:rPr>
          <w:b/>
          <w:sz w:val="24"/>
          <w:szCs w:val="24"/>
        </w:rPr>
      </w:pPr>
    </w:p>
    <w:p w14:paraId="22FFBFDC" w14:textId="2B39BD9F" w:rsidR="00510C7E" w:rsidRDefault="005D6804" w:rsidP="00510C7E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Westfälische</w:t>
      </w:r>
      <w:r w:rsidR="0047364A">
        <w:rPr>
          <w:i/>
          <w:iCs/>
          <w:sz w:val="24"/>
          <w:szCs w:val="24"/>
        </w:rPr>
        <w:t xml:space="preserve"> N</w:t>
      </w:r>
      <w:r w:rsidR="0047364A" w:rsidRPr="003B5F40">
        <w:rPr>
          <w:i/>
          <w:iCs/>
          <w:sz w:val="24"/>
          <w:szCs w:val="24"/>
        </w:rPr>
        <w:t>otarkammer</w:t>
      </w:r>
      <w:r w:rsidR="0047364A" w:rsidRPr="003B5F40">
        <w:rPr>
          <w:iCs/>
          <w:sz w:val="24"/>
          <w:szCs w:val="24"/>
        </w:rPr>
        <w:t xml:space="preserve">. </w:t>
      </w:r>
      <w:r w:rsidR="00F405BC">
        <w:rPr>
          <w:iCs/>
          <w:sz w:val="24"/>
          <w:szCs w:val="24"/>
        </w:rPr>
        <w:t xml:space="preserve">Zum 1. Januar 2024 </w:t>
      </w:r>
      <w:r w:rsidR="00D120C0">
        <w:rPr>
          <w:iCs/>
          <w:sz w:val="24"/>
          <w:szCs w:val="24"/>
        </w:rPr>
        <w:t xml:space="preserve">treten wichtige gesetzliche </w:t>
      </w:r>
      <w:r w:rsidR="00D334D5">
        <w:rPr>
          <w:iCs/>
          <w:sz w:val="24"/>
          <w:szCs w:val="24"/>
        </w:rPr>
        <w:t>Neuerungen</w:t>
      </w:r>
      <w:r w:rsidR="00D120C0">
        <w:rPr>
          <w:iCs/>
          <w:sz w:val="24"/>
          <w:szCs w:val="24"/>
        </w:rPr>
        <w:t xml:space="preserve"> für Gesellschaften bürgerlichen Rechts (GbR) in</w:t>
      </w:r>
      <w:r w:rsidR="006F78A1">
        <w:rPr>
          <w:iCs/>
          <w:sz w:val="24"/>
          <w:szCs w:val="24"/>
        </w:rPr>
        <w:t xml:space="preserve"> </w:t>
      </w:r>
      <w:r w:rsidR="00D120C0">
        <w:rPr>
          <w:iCs/>
          <w:sz w:val="24"/>
          <w:szCs w:val="24"/>
        </w:rPr>
        <w:t>Kraft.</w:t>
      </w:r>
      <w:r w:rsidR="00F405BC">
        <w:rPr>
          <w:iCs/>
          <w:sz w:val="24"/>
          <w:szCs w:val="24"/>
        </w:rPr>
        <w:t xml:space="preserve"> </w:t>
      </w:r>
      <w:r w:rsidR="00510C7E">
        <w:rPr>
          <w:iCs/>
          <w:sz w:val="24"/>
          <w:szCs w:val="24"/>
        </w:rPr>
        <w:t xml:space="preserve">GbR, die auch als BGB-Gesellschaften bezeichnet werden, können sich ab dem Jahreswechsel in einem Gesellschaftsregister anmelden. Sie </w:t>
      </w:r>
      <w:r w:rsidR="00F405BC">
        <w:rPr>
          <w:iCs/>
          <w:sz w:val="24"/>
          <w:szCs w:val="24"/>
        </w:rPr>
        <w:t>erhalten</w:t>
      </w:r>
      <w:r w:rsidR="00D334D5">
        <w:rPr>
          <w:iCs/>
          <w:sz w:val="24"/>
          <w:szCs w:val="24"/>
        </w:rPr>
        <w:t xml:space="preserve"> zudem </w:t>
      </w:r>
      <w:r w:rsidR="00F405BC">
        <w:rPr>
          <w:iCs/>
          <w:sz w:val="24"/>
          <w:szCs w:val="24"/>
        </w:rPr>
        <w:t>eine eigene Rechtspersönlichkeit.</w:t>
      </w:r>
      <w:r w:rsidR="006F78A1">
        <w:rPr>
          <w:iCs/>
          <w:sz w:val="24"/>
          <w:szCs w:val="24"/>
        </w:rPr>
        <w:t xml:space="preserve"> Eine </w:t>
      </w:r>
      <w:r w:rsidR="00C8131A">
        <w:rPr>
          <w:iCs/>
          <w:sz w:val="24"/>
          <w:szCs w:val="24"/>
        </w:rPr>
        <w:t xml:space="preserve">allgemeine </w:t>
      </w:r>
      <w:r w:rsidR="006F78A1">
        <w:rPr>
          <w:iCs/>
          <w:sz w:val="24"/>
          <w:szCs w:val="24"/>
        </w:rPr>
        <w:t xml:space="preserve">Pflicht zur Registrierung besteht nicht, bietet </w:t>
      </w:r>
      <w:r w:rsidR="00510C7E">
        <w:rPr>
          <w:iCs/>
          <w:sz w:val="24"/>
          <w:szCs w:val="24"/>
        </w:rPr>
        <w:t xml:space="preserve">jedoch </w:t>
      </w:r>
      <w:r w:rsidR="006F78A1">
        <w:rPr>
          <w:iCs/>
          <w:sz w:val="24"/>
          <w:szCs w:val="24"/>
        </w:rPr>
        <w:t>Vorteile</w:t>
      </w:r>
      <w:r w:rsidR="00D334D5">
        <w:rPr>
          <w:iCs/>
          <w:sz w:val="24"/>
          <w:szCs w:val="24"/>
        </w:rPr>
        <w:t xml:space="preserve"> und ist auch für bestehende GbR möglich</w:t>
      </w:r>
      <w:r w:rsidR="006F78A1">
        <w:rPr>
          <w:iCs/>
          <w:sz w:val="24"/>
          <w:szCs w:val="24"/>
        </w:rPr>
        <w:t>.</w:t>
      </w:r>
    </w:p>
    <w:p w14:paraId="73A46C18" w14:textId="05D3BD9F" w:rsidR="00D120C0" w:rsidRDefault="00D120C0" w:rsidP="001912B0">
      <w:pPr>
        <w:pStyle w:val="KeinLeerraum"/>
        <w:ind w:left="2835"/>
        <w:jc w:val="both"/>
        <w:rPr>
          <w:iCs/>
          <w:sz w:val="24"/>
          <w:szCs w:val="24"/>
        </w:rPr>
      </w:pPr>
    </w:p>
    <w:p w14:paraId="6C56511D" w14:textId="0073AF8F" w:rsidR="00F405BC" w:rsidRPr="00D120C0" w:rsidRDefault="00D120C0" w:rsidP="001912B0">
      <w:pPr>
        <w:pStyle w:val="KeinLeerraum"/>
        <w:ind w:left="2835"/>
        <w:jc w:val="both"/>
        <w:rPr>
          <w:b/>
          <w:iCs/>
          <w:sz w:val="24"/>
          <w:szCs w:val="24"/>
        </w:rPr>
      </w:pPr>
      <w:r w:rsidRPr="00D120C0">
        <w:rPr>
          <w:b/>
          <w:iCs/>
          <w:sz w:val="24"/>
          <w:szCs w:val="24"/>
        </w:rPr>
        <w:t xml:space="preserve">Registrierung </w:t>
      </w:r>
      <w:r w:rsidR="00C8131A">
        <w:rPr>
          <w:b/>
          <w:iCs/>
          <w:sz w:val="24"/>
          <w:szCs w:val="24"/>
        </w:rPr>
        <w:t xml:space="preserve">in bestimmten Fällen </w:t>
      </w:r>
      <w:r w:rsidR="00C85B02">
        <w:rPr>
          <w:b/>
          <w:iCs/>
          <w:sz w:val="24"/>
          <w:szCs w:val="24"/>
        </w:rPr>
        <w:t xml:space="preserve">sogar </w:t>
      </w:r>
      <w:r w:rsidR="00C8131A">
        <w:rPr>
          <w:b/>
          <w:iCs/>
          <w:sz w:val="24"/>
          <w:szCs w:val="24"/>
        </w:rPr>
        <w:t>notwendig</w:t>
      </w:r>
    </w:p>
    <w:p w14:paraId="63252B23" w14:textId="31E457CA" w:rsidR="00510C7E" w:rsidRDefault="00510C7E" w:rsidP="00510C7E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GbR</w:t>
      </w:r>
      <w:r w:rsidR="00D120C0">
        <w:rPr>
          <w:iCs/>
          <w:sz w:val="24"/>
          <w:szCs w:val="24"/>
        </w:rPr>
        <w:t xml:space="preserve"> sind nicht </w:t>
      </w:r>
      <w:r w:rsidR="00C8131A">
        <w:rPr>
          <w:iCs/>
          <w:sz w:val="24"/>
          <w:szCs w:val="24"/>
        </w:rPr>
        <w:t xml:space="preserve">prinzipiell </w:t>
      </w:r>
      <w:r w:rsidR="00D120C0">
        <w:rPr>
          <w:iCs/>
          <w:sz w:val="24"/>
          <w:szCs w:val="24"/>
        </w:rPr>
        <w:t xml:space="preserve">verpflichtet, sich in das neue Gesellschaftsregister einzutragen. Dies gilt unabhängig davon, ob </w:t>
      </w:r>
      <w:r w:rsidR="00B77371">
        <w:rPr>
          <w:iCs/>
          <w:sz w:val="24"/>
          <w:szCs w:val="24"/>
        </w:rPr>
        <w:t>sie</w:t>
      </w:r>
      <w:r w:rsidR="00D120C0">
        <w:rPr>
          <w:iCs/>
          <w:sz w:val="24"/>
          <w:szCs w:val="24"/>
        </w:rPr>
        <w:t xml:space="preserve"> bereits bestehen oder erst noch </w:t>
      </w:r>
      <w:r w:rsidR="006F78A1">
        <w:rPr>
          <w:iCs/>
          <w:sz w:val="24"/>
          <w:szCs w:val="24"/>
        </w:rPr>
        <w:t xml:space="preserve">gegründet werden. Allerdings </w:t>
      </w:r>
      <w:r w:rsidR="00B77371">
        <w:rPr>
          <w:iCs/>
          <w:sz w:val="24"/>
          <w:szCs w:val="24"/>
        </w:rPr>
        <w:t>gilt</w:t>
      </w:r>
      <w:r w:rsidR="006F78A1">
        <w:rPr>
          <w:iCs/>
          <w:sz w:val="24"/>
          <w:szCs w:val="24"/>
        </w:rPr>
        <w:t xml:space="preserve"> ab </w:t>
      </w:r>
      <w:r w:rsidR="00B77371">
        <w:rPr>
          <w:iCs/>
          <w:sz w:val="24"/>
          <w:szCs w:val="24"/>
        </w:rPr>
        <w:t xml:space="preserve">dem </w:t>
      </w:r>
      <w:r w:rsidR="006F78A1">
        <w:rPr>
          <w:iCs/>
          <w:sz w:val="24"/>
          <w:szCs w:val="24"/>
        </w:rPr>
        <w:t>Jahreswechsel</w:t>
      </w:r>
      <w:r w:rsidR="00D120C0" w:rsidRPr="00D120C0">
        <w:rPr>
          <w:iCs/>
          <w:sz w:val="24"/>
          <w:szCs w:val="24"/>
        </w:rPr>
        <w:t xml:space="preserve"> </w:t>
      </w:r>
      <w:r w:rsidR="00B77371">
        <w:rPr>
          <w:iCs/>
          <w:sz w:val="24"/>
          <w:szCs w:val="24"/>
        </w:rPr>
        <w:t xml:space="preserve">2024 </w:t>
      </w:r>
      <w:r w:rsidR="00D120C0" w:rsidRPr="00D120C0">
        <w:rPr>
          <w:iCs/>
          <w:sz w:val="24"/>
          <w:szCs w:val="24"/>
        </w:rPr>
        <w:t>eine Registrierungsobliegenheit für solche Gesellschaften, die Inhaber von Rechten sind, die in anderen Registern geführt werden.</w:t>
      </w:r>
      <w:r w:rsidR="006F78A1">
        <w:rPr>
          <w:iCs/>
          <w:sz w:val="24"/>
          <w:szCs w:val="24"/>
        </w:rPr>
        <w:t xml:space="preserve"> Das heißt, </w:t>
      </w:r>
      <w:r w:rsidR="00D120C0" w:rsidRPr="00D120C0">
        <w:rPr>
          <w:iCs/>
          <w:sz w:val="24"/>
          <w:szCs w:val="24"/>
        </w:rPr>
        <w:t xml:space="preserve">dass </w:t>
      </w:r>
      <w:r w:rsidR="00B77371">
        <w:rPr>
          <w:iCs/>
          <w:sz w:val="24"/>
          <w:szCs w:val="24"/>
        </w:rPr>
        <w:t>GbR</w:t>
      </w:r>
      <w:r w:rsidR="00D120C0" w:rsidRPr="00D120C0">
        <w:rPr>
          <w:iCs/>
          <w:sz w:val="24"/>
          <w:szCs w:val="24"/>
        </w:rPr>
        <w:t xml:space="preserve">, die </w:t>
      </w:r>
      <w:r w:rsidR="006F78A1">
        <w:rPr>
          <w:iCs/>
          <w:sz w:val="24"/>
          <w:szCs w:val="24"/>
        </w:rPr>
        <w:t xml:space="preserve">zum Beispiel </w:t>
      </w:r>
      <w:r w:rsidR="00D120C0" w:rsidRPr="00D120C0">
        <w:rPr>
          <w:iCs/>
          <w:sz w:val="24"/>
          <w:szCs w:val="24"/>
        </w:rPr>
        <w:t xml:space="preserve">Immobilien oder Anteile an einer GmbH </w:t>
      </w:r>
      <w:r w:rsidR="006F78A1">
        <w:rPr>
          <w:iCs/>
          <w:sz w:val="24"/>
          <w:szCs w:val="24"/>
        </w:rPr>
        <w:t>besitzen</w:t>
      </w:r>
      <w:r w:rsidR="00D120C0" w:rsidRPr="00D120C0">
        <w:rPr>
          <w:iCs/>
          <w:sz w:val="24"/>
          <w:szCs w:val="24"/>
        </w:rPr>
        <w:t>, mit diesen Werten nur arbeiten können, w</w:t>
      </w:r>
      <w:bookmarkStart w:id="0" w:name="_GoBack"/>
      <w:bookmarkEnd w:id="0"/>
      <w:r w:rsidR="00D120C0" w:rsidRPr="00D120C0">
        <w:rPr>
          <w:iCs/>
          <w:sz w:val="24"/>
          <w:szCs w:val="24"/>
        </w:rPr>
        <w:t xml:space="preserve">enn sie im Gesellschaftsregister eingetragen sind. </w:t>
      </w:r>
      <w:r w:rsidR="006F78A1">
        <w:rPr>
          <w:iCs/>
          <w:sz w:val="24"/>
          <w:szCs w:val="24"/>
        </w:rPr>
        <w:t>E</w:t>
      </w:r>
      <w:r w:rsidR="00D120C0" w:rsidRPr="00D120C0">
        <w:rPr>
          <w:iCs/>
          <w:sz w:val="24"/>
          <w:szCs w:val="24"/>
        </w:rPr>
        <w:t xml:space="preserve">ine bestehende </w:t>
      </w:r>
      <w:r w:rsidR="00B77371">
        <w:rPr>
          <w:iCs/>
          <w:sz w:val="24"/>
          <w:szCs w:val="24"/>
        </w:rPr>
        <w:t>GbR</w:t>
      </w:r>
      <w:r w:rsidR="00D120C0" w:rsidRPr="00D120C0">
        <w:rPr>
          <w:iCs/>
          <w:sz w:val="24"/>
          <w:szCs w:val="24"/>
        </w:rPr>
        <w:t xml:space="preserve"> </w:t>
      </w:r>
      <w:r w:rsidR="006F78A1">
        <w:rPr>
          <w:iCs/>
          <w:sz w:val="24"/>
          <w:szCs w:val="24"/>
        </w:rPr>
        <w:t xml:space="preserve">kann somit beispielsweise </w:t>
      </w:r>
      <w:r w:rsidR="00D120C0" w:rsidRPr="00D120C0">
        <w:rPr>
          <w:iCs/>
          <w:sz w:val="24"/>
          <w:szCs w:val="24"/>
        </w:rPr>
        <w:t>eine Immobilie erst belasten oder verkaufen, wenn sie im Gesellschaftsregister eingetragen ist.</w:t>
      </w:r>
    </w:p>
    <w:p w14:paraId="025D0448" w14:textId="77777777" w:rsidR="00510C7E" w:rsidRDefault="00510C7E" w:rsidP="00510C7E">
      <w:pPr>
        <w:pStyle w:val="KeinLeerraum"/>
        <w:ind w:left="2835"/>
        <w:jc w:val="both"/>
        <w:rPr>
          <w:b/>
          <w:iCs/>
          <w:sz w:val="24"/>
          <w:szCs w:val="24"/>
        </w:rPr>
      </w:pPr>
    </w:p>
    <w:p w14:paraId="7A5A176F" w14:textId="23F4D35B" w:rsidR="000A31F2" w:rsidRPr="00510C7E" w:rsidRDefault="00510C7E" w:rsidP="00510C7E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Ne</w:t>
      </w:r>
      <w:r w:rsidR="00C8131A">
        <w:rPr>
          <w:b/>
          <w:iCs/>
          <w:sz w:val="24"/>
          <w:szCs w:val="24"/>
        </w:rPr>
        <w:t>uer Namenszusatz für eingetragene Gesellschaften</w:t>
      </w:r>
    </w:p>
    <w:p w14:paraId="2B78F5E2" w14:textId="0B4E118A" w:rsidR="008B2FA5" w:rsidRDefault="00510C7E" w:rsidP="008B2FA5">
      <w:pPr>
        <w:pStyle w:val="KeinLeerraum"/>
        <w:ind w:left="2835"/>
        <w:jc w:val="both"/>
        <w:rPr>
          <w:iCs/>
          <w:sz w:val="24"/>
          <w:szCs w:val="24"/>
        </w:rPr>
      </w:pPr>
      <w:r w:rsidRPr="00D120C0">
        <w:rPr>
          <w:iCs/>
          <w:sz w:val="24"/>
          <w:szCs w:val="24"/>
        </w:rPr>
        <w:t xml:space="preserve">Die Registrierung </w:t>
      </w:r>
      <w:r>
        <w:rPr>
          <w:iCs/>
          <w:sz w:val="24"/>
          <w:szCs w:val="24"/>
        </w:rPr>
        <w:t xml:space="preserve">im Gesellschaftsregister </w:t>
      </w:r>
      <w:r w:rsidRPr="00D120C0">
        <w:rPr>
          <w:iCs/>
          <w:sz w:val="24"/>
          <w:szCs w:val="24"/>
        </w:rPr>
        <w:t xml:space="preserve">erfordert eine notariell beglaubigte Anmeldung. </w:t>
      </w:r>
      <w:r>
        <w:rPr>
          <w:iCs/>
          <w:sz w:val="24"/>
          <w:szCs w:val="24"/>
        </w:rPr>
        <w:t>E</w:t>
      </w:r>
      <w:r w:rsidRPr="00D120C0">
        <w:rPr>
          <w:iCs/>
          <w:sz w:val="24"/>
          <w:szCs w:val="24"/>
        </w:rPr>
        <w:t>ingetragene BGB-Gesellschaft</w:t>
      </w:r>
      <w:r>
        <w:rPr>
          <w:iCs/>
          <w:sz w:val="24"/>
          <w:szCs w:val="24"/>
        </w:rPr>
        <w:t>en</w:t>
      </w:r>
      <w:r w:rsidRPr="00D120C0">
        <w:rPr>
          <w:iCs/>
          <w:sz w:val="24"/>
          <w:szCs w:val="24"/>
        </w:rPr>
        <w:t xml:space="preserve"> führ</w:t>
      </w:r>
      <w:r>
        <w:rPr>
          <w:iCs/>
          <w:sz w:val="24"/>
          <w:szCs w:val="24"/>
        </w:rPr>
        <w:t>en</w:t>
      </w:r>
      <w:r w:rsidRPr="00D120C0">
        <w:rPr>
          <w:iCs/>
          <w:sz w:val="24"/>
          <w:szCs w:val="24"/>
        </w:rPr>
        <w:t xml:space="preserve"> zukünftig den Namenszusatz „</w:t>
      </w:r>
      <w:proofErr w:type="spellStart"/>
      <w:r w:rsidRPr="00D120C0">
        <w:rPr>
          <w:iCs/>
          <w:sz w:val="24"/>
          <w:szCs w:val="24"/>
        </w:rPr>
        <w:t>eGbR</w:t>
      </w:r>
      <w:proofErr w:type="spellEnd"/>
      <w:r w:rsidRPr="00D120C0">
        <w:rPr>
          <w:iCs/>
          <w:sz w:val="24"/>
          <w:szCs w:val="24"/>
        </w:rPr>
        <w:t>“ oder „eingetragene Gesellschaft bürgerlichen Rechts“.</w:t>
      </w:r>
    </w:p>
    <w:p w14:paraId="250C67C9" w14:textId="67F64270" w:rsidR="00510C7E" w:rsidRDefault="00510C7E" w:rsidP="008B2FA5">
      <w:pPr>
        <w:pStyle w:val="KeinLeerraum"/>
        <w:ind w:left="2835"/>
        <w:jc w:val="both"/>
        <w:rPr>
          <w:iCs/>
          <w:sz w:val="24"/>
          <w:szCs w:val="24"/>
        </w:rPr>
      </w:pPr>
    </w:p>
    <w:p w14:paraId="0014481D" w14:textId="77777777" w:rsidR="00510C7E" w:rsidRPr="003A4513" w:rsidRDefault="00510C7E" w:rsidP="00510C7E">
      <w:pPr>
        <w:pStyle w:val="KeinLeerraum"/>
        <w:ind w:left="283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Nachträgliche Registrierung möglich</w:t>
      </w:r>
    </w:p>
    <w:p w14:paraId="701AE6BB" w14:textId="5DA571A5" w:rsidR="00B77371" w:rsidRDefault="00510C7E" w:rsidP="00EC0432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B</w:t>
      </w:r>
      <w:r w:rsidRPr="00D334D5">
        <w:rPr>
          <w:iCs/>
          <w:sz w:val="24"/>
          <w:szCs w:val="24"/>
        </w:rPr>
        <w:t xml:space="preserve">estehende </w:t>
      </w:r>
      <w:r>
        <w:rPr>
          <w:iCs/>
          <w:sz w:val="24"/>
          <w:szCs w:val="24"/>
        </w:rPr>
        <w:t>so</w:t>
      </w:r>
      <w:r w:rsidRPr="00D334D5">
        <w:rPr>
          <w:iCs/>
          <w:sz w:val="24"/>
          <w:szCs w:val="24"/>
        </w:rPr>
        <w:t xml:space="preserve">wie neu entstehende Gesellschaften </w:t>
      </w:r>
      <w:r>
        <w:rPr>
          <w:iCs/>
          <w:sz w:val="24"/>
          <w:szCs w:val="24"/>
        </w:rPr>
        <w:t>sollten</w:t>
      </w:r>
      <w:r w:rsidRPr="00D334D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eine</w:t>
      </w:r>
      <w:r w:rsidRPr="00D334D5">
        <w:rPr>
          <w:iCs/>
          <w:sz w:val="24"/>
          <w:szCs w:val="24"/>
        </w:rPr>
        <w:t xml:space="preserve"> Eintragung im Gesellschaftsregister </w:t>
      </w:r>
      <w:r>
        <w:rPr>
          <w:iCs/>
          <w:sz w:val="24"/>
          <w:szCs w:val="24"/>
        </w:rPr>
        <w:t>in Erwägung ziehen. Eine gegebenenfalls auch nachträgliche Registrierung bietet den Vorteil, dass das</w:t>
      </w:r>
      <w:r w:rsidRPr="00D334D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</w:t>
      </w:r>
      <w:r w:rsidRPr="00D334D5">
        <w:rPr>
          <w:iCs/>
          <w:sz w:val="24"/>
          <w:szCs w:val="24"/>
        </w:rPr>
        <w:t xml:space="preserve">egister mit Gutglaubensschutz ausgestattet sein </w:t>
      </w:r>
      <w:r>
        <w:rPr>
          <w:iCs/>
          <w:sz w:val="24"/>
          <w:szCs w:val="24"/>
        </w:rPr>
        <w:t>wird</w:t>
      </w:r>
      <w:r w:rsidRPr="00D334D5">
        <w:rPr>
          <w:iCs/>
          <w:sz w:val="24"/>
          <w:szCs w:val="24"/>
        </w:rPr>
        <w:t>.</w:t>
      </w:r>
    </w:p>
    <w:p w14:paraId="083A71F4" w14:textId="77777777" w:rsidR="00B77371" w:rsidRDefault="00B77371" w:rsidP="00EC0432">
      <w:pPr>
        <w:pStyle w:val="KeinLeerraum"/>
        <w:ind w:left="2835"/>
        <w:jc w:val="both"/>
        <w:rPr>
          <w:iCs/>
          <w:sz w:val="24"/>
          <w:szCs w:val="24"/>
        </w:rPr>
      </w:pPr>
    </w:p>
    <w:p w14:paraId="0EAF615F" w14:textId="77777777" w:rsidR="00B77371" w:rsidRDefault="00B77371" w:rsidP="00EC0432">
      <w:pPr>
        <w:pStyle w:val="KeinLeerraum"/>
        <w:ind w:left="2835"/>
        <w:jc w:val="both"/>
        <w:rPr>
          <w:iCs/>
          <w:sz w:val="24"/>
          <w:szCs w:val="24"/>
        </w:rPr>
      </w:pPr>
    </w:p>
    <w:p w14:paraId="5CC66850" w14:textId="53B18E1B" w:rsidR="00B77371" w:rsidRPr="0011647C" w:rsidRDefault="0011647C" w:rsidP="00EC0432">
      <w:pPr>
        <w:pStyle w:val="KeinLeerraum"/>
        <w:ind w:left="283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Rechtsgeschäfte bisher oftmals kompliziert</w:t>
      </w:r>
    </w:p>
    <w:p w14:paraId="6B7166C2" w14:textId="435388CB" w:rsidR="003A4513" w:rsidRDefault="00C8131A" w:rsidP="00EC0432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G</w:t>
      </w:r>
      <w:r w:rsidR="0011647C">
        <w:rPr>
          <w:iCs/>
          <w:sz w:val="24"/>
          <w:szCs w:val="24"/>
        </w:rPr>
        <w:t>esellschaften bürgerlichen Rechts</w:t>
      </w:r>
      <w:r>
        <w:rPr>
          <w:iCs/>
          <w:sz w:val="24"/>
          <w:szCs w:val="24"/>
        </w:rPr>
        <w:t xml:space="preserve"> sind eine in Deutschland weit verbreitete Unternehmensform. </w:t>
      </w:r>
      <w:r w:rsidRPr="00C8131A">
        <w:rPr>
          <w:iCs/>
          <w:sz w:val="24"/>
          <w:szCs w:val="24"/>
        </w:rPr>
        <w:t xml:space="preserve">Familiengesellschaften zum Beispiel sind häufig </w:t>
      </w:r>
      <w:r w:rsidR="00510C7E">
        <w:rPr>
          <w:iCs/>
          <w:sz w:val="24"/>
          <w:szCs w:val="24"/>
        </w:rPr>
        <w:t>als</w:t>
      </w:r>
      <w:r w:rsidRPr="00C8131A">
        <w:rPr>
          <w:iCs/>
          <w:sz w:val="24"/>
          <w:szCs w:val="24"/>
        </w:rPr>
        <w:t xml:space="preserve"> </w:t>
      </w:r>
      <w:r w:rsidR="00B77371">
        <w:rPr>
          <w:iCs/>
          <w:sz w:val="24"/>
          <w:szCs w:val="24"/>
        </w:rPr>
        <w:t>GbR</w:t>
      </w:r>
      <w:r w:rsidRPr="00C8131A">
        <w:rPr>
          <w:iCs/>
          <w:sz w:val="24"/>
          <w:szCs w:val="24"/>
        </w:rPr>
        <w:t xml:space="preserve"> strukturiert. </w:t>
      </w:r>
      <w:r w:rsidR="00510C7E">
        <w:rPr>
          <w:iCs/>
          <w:sz w:val="24"/>
          <w:szCs w:val="24"/>
        </w:rPr>
        <w:t xml:space="preserve">Da </w:t>
      </w:r>
      <w:r w:rsidR="0011647C">
        <w:rPr>
          <w:iCs/>
          <w:sz w:val="24"/>
          <w:szCs w:val="24"/>
        </w:rPr>
        <w:t>solche Unternehmen</w:t>
      </w:r>
      <w:r w:rsidR="00510C7E">
        <w:rPr>
          <w:iCs/>
          <w:sz w:val="24"/>
          <w:szCs w:val="24"/>
        </w:rPr>
        <w:t xml:space="preserve"> bis Ende dieses Jahres </w:t>
      </w:r>
      <w:r w:rsidRPr="00C8131A">
        <w:rPr>
          <w:iCs/>
          <w:sz w:val="24"/>
          <w:szCs w:val="24"/>
        </w:rPr>
        <w:t xml:space="preserve">keine eigene Rechtspersönlichkeit besitzen, ist die Teilnahme am Rechtsleben derzeit </w:t>
      </w:r>
      <w:r w:rsidR="00510C7E">
        <w:rPr>
          <w:iCs/>
          <w:sz w:val="24"/>
          <w:szCs w:val="24"/>
        </w:rPr>
        <w:t xml:space="preserve">oft </w:t>
      </w:r>
      <w:r w:rsidRPr="00C8131A">
        <w:rPr>
          <w:iCs/>
          <w:sz w:val="24"/>
          <w:szCs w:val="24"/>
        </w:rPr>
        <w:t>kompliziert.</w:t>
      </w:r>
    </w:p>
    <w:p w14:paraId="2B912541" w14:textId="77777777" w:rsidR="00533850" w:rsidRDefault="00533850" w:rsidP="00533850">
      <w:pPr>
        <w:pStyle w:val="KeinLeerraum"/>
        <w:ind w:left="2835"/>
        <w:jc w:val="both"/>
        <w:rPr>
          <w:iCs/>
          <w:sz w:val="24"/>
          <w:szCs w:val="24"/>
        </w:rPr>
      </w:pPr>
    </w:p>
    <w:p w14:paraId="1B8ED3E3" w14:textId="338C5C55" w:rsidR="0047364A" w:rsidRDefault="003E1932" w:rsidP="003E1932">
      <w:pPr>
        <w:pStyle w:val="KeinLeerraum"/>
        <w:ind w:left="2835"/>
        <w:jc w:val="both"/>
        <w:rPr>
          <w:iCs/>
          <w:sz w:val="24"/>
          <w:szCs w:val="24"/>
        </w:rPr>
      </w:pPr>
      <w:r w:rsidRPr="00C14E25">
        <w:rPr>
          <w:iCs/>
          <w:sz w:val="24"/>
          <w:szCs w:val="24"/>
        </w:rPr>
        <w:t xml:space="preserve">Wer sich im Vorfeld von einem Notar zu diesem Thema beraten lassen möchte, findet im Internet unter </w:t>
      </w:r>
      <w:hyperlink r:id="rId7" w:history="1">
        <w:r w:rsidR="007F1D35" w:rsidRPr="007F1D35">
          <w:rPr>
            <w:rStyle w:val="Hyperlink"/>
            <w:iCs/>
            <w:sz w:val="24"/>
            <w:szCs w:val="24"/>
          </w:rPr>
          <w:t>https://notar.de/</w:t>
        </w:r>
      </w:hyperlink>
      <w:r w:rsidRPr="00C14E25">
        <w:rPr>
          <w:iCs/>
          <w:sz w:val="24"/>
          <w:szCs w:val="24"/>
        </w:rPr>
        <w:t xml:space="preserve"> den richtigen Ansprechpartner. Besuchen Sie auch das Online-Verbraucherportal der Notarkammer unter </w:t>
      </w:r>
      <w:hyperlink r:id="rId8" w:history="1">
        <w:r w:rsidRPr="00FA0E29">
          <w:rPr>
            <w:rStyle w:val="Hyperlink"/>
            <w:iCs/>
            <w:sz w:val="24"/>
            <w:szCs w:val="24"/>
          </w:rPr>
          <w:t>https://ratgeber-notar.de</w:t>
        </w:r>
      </w:hyperlink>
      <w:r w:rsidR="007F1D35">
        <w:rPr>
          <w:rStyle w:val="Hyperlink"/>
          <w:iCs/>
          <w:sz w:val="24"/>
          <w:szCs w:val="24"/>
        </w:rPr>
        <w:t>/</w:t>
      </w:r>
      <w:r w:rsidRPr="00C14E25">
        <w:rPr>
          <w:iCs/>
          <w:sz w:val="24"/>
          <w:szCs w:val="24"/>
        </w:rPr>
        <w:t>.</w:t>
      </w:r>
    </w:p>
    <w:p w14:paraId="457B2480" w14:textId="77777777" w:rsidR="003E1932" w:rsidRPr="00975DA2" w:rsidRDefault="003E1932" w:rsidP="003E1932">
      <w:pPr>
        <w:pStyle w:val="KeinLeerraum"/>
        <w:ind w:left="2835"/>
        <w:jc w:val="both"/>
        <w:rPr>
          <w:sz w:val="24"/>
          <w:szCs w:val="24"/>
        </w:rPr>
      </w:pPr>
    </w:p>
    <w:p w14:paraId="5163683B" w14:textId="58701295" w:rsidR="0047364A" w:rsidRDefault="0047364A" w:rsidP="0047364A">
      <w:pPr>
        <w:ind w:left="2835"/>
        <w:jc w:val="both"/>
        <w:rPr>
          <w:sz w:val="24"/>
          <w:szCs w:val="24"/>
        </w:rPr>
      </w:pPr>
      <w:r w:rsidRPr="00382BC1">
        <w:rPr>
          <w:sz w:val="24"/>
          <w:szCs w:val="24"/>
        </w:rPr>
        <w:t xml:space="preserve">Textumfang ca. </w:t>
      </w:r>
      <w:r w:rsidR="00AA67EE">
        <w:rPr>
          <w:sz w:val="24"/>
          <w:szCs w:val="24"/>
        </w:rPr>
        <w:t>2</w:t>
      </w:r>
      <w:r w:rsidRPr="00382BC1">
        <w:rPr>
          <w:sz w:val="24"/>
          <w:szCs w:val="24"/>
        </w:rPr>
        <w:t>.</w:t>
      </w:r>
      <w:r w:rsidR="00AA67EE">
        <w:rPr>
          <w:sz w:val="24"/>
          <w:szCs w:val="24"/>
        </w:rPr>
        <w:t>28</w:t>
      </w:r>
      <w:r w:rsidR="004C67AA">
        <w:rPr>
          <w:sz w:val="24"/>
          <w:szCs w:val="24"/>
        </w:rPr>
        <w:t>7</w:t>
      </w:r>
      <w:r w:rsidRPr="00382BC1">
        <w:rPr>
          <w:sz w:val="24"/>
          <w:szCs w:val="24"/>
        </w:rPr>
        <w:t xml:space="preserve"> Zeichen inkl. Leerzeichen</w:t>
      </w:r>
    </w:p>
    <w:p w14:paraId="2E99872F" w14:textId="77777777" w:rsidR="00AA67EE" w:rsidRPr="00382BC1" w:rsidRDefault="00AA67EE" w:rsidP="0047364A">
      <w:pPr>
        <w:ind w:left="2835"/>
        <w:jc w:val="both"/>
        <w:rPr>
          <w:sz w:val="24"/>
          <w:szCs w:val="24"/>
        </w:rPr>
      </w:pPr>
    </w:p>
    <w:p w14:paraId="0EDC4F8B" w14:textId="77777777" w:rsidR="0047364A" w:rsidRPr="00430C64" w:rsidRDefault="0047364A" w:rsidP="0047364A">
      <w:pPr>
        <w:ind w:left="2835"/>
        <w:jc w:val="both"/>
        <w:rPr>
          <w:sz w:val="24"/>
          <w:szCs w:val="24"/>
        </w:rPr>
      </w:pPr>
      <w:r w:rsidRPr="00382BC1">
        <w:rPr>
          <w:sz w:val="24"/>
          <w:szCs w:val="24"/>
        </w:rPr>
        <w:t>Redaktion und Ansprechpartner</w:t>
      </w:r>
      <w:r w:rsidRPr="00430C64">
        <w:rPr>
          <w:sz w:val="24"/>
          <w:szCs w:val="24"/>
        </w:rPr>
        <w:t>:</w:t>
      </w:r>
    </w:p>
    <w:p w14:paraId="34E43787" w14:textId="77777777" w:rsidR="0047364A" w:rsidRPr="00430C64" w:rsidRDefault="0047364A" w:rsidP="0047364A">
      <w:pPr>
        <w:ind w:left="2835"/>
        <w:jc w:val="both"/>
        <w:rPr>
          <w:sz w:val="24"/>
          <w:szCs w:val="24"/>
        </w:rPr>
      </w:pPr>
    </w:p>
    <w:p w14:paraId="3232FA14" w14:textId="77777777" w:rsidR="0047364A" w:rsidRPr="00D64EB5" w:rsidRDefault="0047364A" w:rsidP="0047364A">
      <w:pPr>
        <w:ind w:left="2835"/>
        <w:jc w:val="both"/>
        <w:rPr>
          <w:sz w:val="24"/>
          <w:szCs w:val="24"/>
        </w:rPr>
      </w:pPr>
      <w:r w:rsidRPr="00D64EB5">
        <w:rPr>
          <w:sz w:val="24"/>
          <w:szCs w:val="24"/>
        </w:rPr>
        <w:t>Azet</w:t>
      </w:r>
      <w:r w:rsidRPr="00D64EB5">
        <w:rPr>
          <w:b/>
          <w:sz w:val="24"/>
          <w:szCs w:val="24"/>
        </w:rPr>
        <w:t>PR</w:t>
      </w:r>
    </w:p>
    <w:p w14:paraId="68B0A868" w14:textId="77777777" w:rsidR="0047364A" w:rsidRPr="00D64EB5" w:rsidRDefault="0047364A" w:rsidP="0047364A">
      <w:pPr>
        <w:ind w:left="2835"/>
        <w:jc w:val="both"/>
        <w:rPr>
          <w:sz w:val="24"/>
          <w:szCs w:val="24"/>
        </w:rPr>
      </w:pPr>
      <w:r w:rsidRPr="00D64EB5">
        <w:rPr>
          <w:sz w:val="24"/>
          <w:szCs w:val="24"/>
        </w:rPr>
        <w:t>INTERNATIONAL PUBLIC RELATIONS GmbH</w:t>
      </w:r>
    </w:p>
    <w:p w14:paraId="5C398123" w14:textId="77777777" w:rsidR="0047364A" w:rsidRPr="00D64EB5" w:rsidRDefault="002C3D76" w:rsidP="0047364A">
      <w:pPr>
        <w:ind w:left="2835"/>
        <w:rPr>
          <w:sz w:val="24"/>
          <w:szCs w:val="24"/>
        </w:rPr>
      </w:pPr>
      <w:r w:rsidRPr="00D64EB5">
        <w:rPr>
          <w:sz w:val="24"/>
          <w:szCs w:val="24"/>
        </w:rPr>
        <w:t>Thomas Spengler</w:t>
      </w:r>
    </w:p>
    <w:p w14:paraId="251BF003" w14:textId="77777777" w:rsidR="0047364A" w:rsidRPr="00430C64" w:rsidRDefault="0047364A" w:rsidP="0047364A">
      <w:pPr>
        <w:ind w:left="2835"/>
        <w:rPr>
          <w:sz w:val="24"/>
          <w:szCs w:val="24"/>
        </w:rPr>
      </w:pPr>
      <w:proofErr w:type="spellStart"/>
      <w:r w:rsidRPr="00430C64">
        <w:rPr>
          <w:sz w:val="24"/>
          <w:szCs w:val="24"/>
        </w:rPr>
        <w:t>Wrangelstraße</w:t>
      </w:r>
      <w:proofErr w:type="spellEnd"/>
      <w:r w:rsidRPr="00430C64">
        <w:rPr>
          <w:sz w:val="24"/>
          <w:szCs w:val="24"/>
        </w:rPr>
        <w:t xml:space="preserve"> 111</w:t>
      </w:r>
      <w:r w:rsidRPr="00430C64">
        <w:rPr>
          <w:sz w:val="24"/>
          <w:szCs w:val="24"/>
        </w:rPr>
        <w:br/>
        <w:t>20253 Hamburg</w:t>
      </w:r>
      <w:r w:rsidRPr="00430C64">
        <w:rPr>
          <w:sz w:val="24"/>
          <w:szCs w:val="24"/>
        </w:rPr>
        <w:br/>
        <w:t>Telefon: 040/41 32 70-</w:t>
      </w:r>
      <w:r w:rsidR="002C3D76">
        <w:rPr>
          <w:sz w:val="24"/>
          <w:szCs w:val="24"/>
        </w:rPr>
        <w:t>21</w:t>
      </w:r>
      <w:r w:rsidRPr="00430C64">
        <w:rPr>
          <w:sz w:val="24"/>
          <w:szCs w:val="24"/>
        </w:rPr>
        <w:br/>
        <w:t>Fax: 040/41 3270-70</w:t>
      </w:r>
    </w:p>
    <w:p w14:paraId="3BD363D4" w14:textId="77777777" w:rsidR="0047364A" w:rsidRPr="00430C64" w:rsidRDefault="0047364A" w:rsidP="0047364A">
      <w:pPr>
        <w:ind w:left="2835"/>
        <w:rPr>
          <w:rStyle w:val="Hyperlink"/>
          <w:sz w:val="24"/>
          <w:szCs w:val="24"/>
        </w:rPr>
      </w:pPr>
      <w:r w:rsidRPr="00430C64">
        <w:rPr>
          <w:sz w:val="24"/>
          <w:szCs w:val="24"/>
        </w:rPr>
        <w:t xml:space="preserve">E-Mail: </w:t>
      </w:r>
      <w:hyperlink r:id="rId9" w:history="1">
        <w:r w:rsidR="002C3D76">
          <w:rPr>
            <w:rStyle w:val="Hyperlink"/>
            <w:sz w:val="24"/>
            <w:szCs w:val="24"/>
          </w:rPr>
          <w:t>spengler@azetpr.com</w:t>
        </w:r>
      </w:hyperlink>
    </w:p>
    <w:p w14:paraId="7F8AC85E" w14:textId="56268416" w:rsidR="003F3ACE" w:rsidRPr="003E1932" w:rsidRDefault="00D64EB5" w:rsidP="003E1932">
      <w:pPr>
        <w:ind w:left="2835"/>
        <w:rPr>
          <w:sz w:val="24"/>
          <w:szCs w:val="24"/>
        </w:rPr>
      </w:pPr>
      <w:hyperlink r:id="rId10" w:history="1">
        <w:r w:rsidR="0047364A" w:rsidRPr="00AC200D">
          <w:rPr>
            <w:rStyle w:val="Hyperlink"/>
            <w:sz w:val="24"/>
            <w:szCs w:val="24"/>
          </w:rPr>
          <w:t>www.azetpr.com</w:t>
        </w:r>
      </w:hyperlink>
    </w:p>
    <w:sectPr w:rsidR="003F3ACE" w:rsidRPr="003E1932" w:rsidSect="000E335F">
      <w:headerReference w:type="first" r:id="rId11"/>
      <w:pgSz w:w="11906" w:h="16838"/>
      <w:pgMar w:top="1417" w:right="1417" w:bottom="1134" w:left="1417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BF3D" w14:textId="77777777" w:rsidR="00417927" w:rsidRDefault="00417927">
      <w:r>
        <w:separator/>
      </w:r>
    </w:p>
  </w:endnote>
  <w:endnote w:type="continuationSeparator" w:id="0">
    <w:p w14:paraId="7B4B2465" w14:textId="77777777" w:rsidR="00417927" w:rsidRDefault="0041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2D09D" w14:textId="77777777" w:rsidR="00417927" w:rsidRDefault="00417927">
      <w:r>
        <w:separator/>
      </w:r>
    </w:p>
  </w:footnote>
  <w:footnote w:type="continuationSeparator" w:id="0">
    <w:p w14:paraId="40DC5AF4" w14:textId="77777777" w:rsidR="00417927" w:rsidRDefault="0041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833D" w14:textId="77777777" w:rsidR="000E335F" w:rsidRPr="000E335F" w:rsidRDefault="00D64EB5" w:rsidP="000E335F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</w:p>
  <w:p w14:paraId="0B7CA650" w14:textId="77777777" w:rsidR="000E335F" w:rsidRPr="000E335F" w:rsidRDefault="00D64EB5" w:rsidP="000E335F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</w:p>
  <w:p w14:paraId="78B77D40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pacing w:after="240"/>
      <w:rPr>
        <w:rFonts w:ascii="Times" w:eastAsia="Times" w:hAnsi="Times"/>
        <w:i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i/>
        <w:color w:val="000000"/>
        <w:sz w:val="18"/>
        <w:u w:color="000000"/>
        <w:lang w:eastAsia="en-US"/>
      </w:rPr>
      <w:t>Pressemitteilung - Westfälische Notarkammer</w:t>
    </w:r>
  </w:p>
  <w:p w14:paraId="324CF1B1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59063 Hamm</w:t>
    </w:r>
  </w:p>
  <w:p w14:paraId="4CE0ED70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pacing w:after="120"/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Ostenallee 18</w:t>
    </w:r>
  </w:p>
  <w:p w14:paraId="6C01CF3B" w14:textId="77777777" w:rsidR="005D6804" w:rsidRPr="005D6804" w:rsidRDefault="005D6804" w:rsidP="005D6804"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Telefon</w:t>
    </w:r>
    <w:r w:rsidRPr="005D6804">
      <w:rPr>
        <w:rFonts w:ascii="Times" w:eastAsia="Times" w:hAnsi="Times"/>
        <w:color w:val="000000"/>
        <w:sz w:val="18"/>
        <w:u w:color="000000"/>
        <w:lang w:eastAsia="en-US"/>
      </w:rPr>
      <w:tab/>
      <w:t>02381 / 96959-0</w:t>
    </w:r>
  </w:p>
  <w:p w14:paraId="1C77F9B4" w14:textId="77777777" w:rsidR="005D6804" w:rsidRPr="005D6804" w:rsidRDefault="005D6804" w:rsidP="005D6804"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ind w:left="-284" w:firstLine="284"/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Telefax</w:t>
    </w:r>
    <w:r w:rsidRPr="005D6804">
      <w:rPr>
        <w:rFonts w:ascii="Times" w:eastAsia="Times" w:hAnsi="Times"/>
        <w:color w:val="000000"/>
        <w:sz w:val="18"/>
        <w:u w:color="000000"/>
        <w:lang w:eastAsia="en-US"/>
      </w:rPr>
      <w:tab/>
      <w:t>02381 / 96959-51</w:t>
    </w:r>
  </w:p>
  <w:p w14:paraId="41B33E31" w14:textId="77777777" w:rsidR="005D6804" w:rsidRPr="005D6804" w:rsidRDefault="005D6804" w:rsidP="005D6804"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pacing w:after="80"/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Helvetica" w:hAnsi="Times"/>
        <w:color w:val="000000"/>
        <w:spacing w:val="20"/>
        <w:sz w:val="18"/>
        <w:u w:color="000000"/>
        <w:lang w:eastAsia="en-US"/>
      </w:rPr>
      <w:tab/>
    </w:r>
    <w:r w:rsidRPr="005D6804">
      <w:rPr>
        <w:rFonts w:ascii="Times" w:eastAsia="Times" w:hAnsi="Times"/>
        <w:color w:val="000000"/>
        <w:sz w:val="18"/>
        <w:u w:color="000000"/>
        <w:lang w:eastAsia="en-US"/>
      </w:rPr>
      <w:t>02381 / 430696</w:t>
    </w:r>
  </w:p>
  <w:p w14:paraId="1465A270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rPr>
        <w:rFonts w:ascii="Times" w:eastAsia="Times" w:hAnsi="Times"/>
        <w:color w:val="000000"/>
        <w:sz w:val="18"/>
        <w:u w:color="000000"/>
        <w:lang w:eastAsia="en-US"/>
      </w:rPr>
    </w:pPr>
    <w:proofErr w:type="spellStart"/>
    <w:r w:rsidRPr="005D6804">
      <w:rPr>
        <w:rFonts w:ascii="Times" w:eastAsia="Times" w:hAnsi="Times"/>
        <w:color w:val="000000"/>
        <w:sz w:val="18"/>
        <w:u w:color="000000"/>
        <w:lang w:eastAsia="en-US"/>
      </w:rPr>
      <w:t>E.Mail</w:t>
    </w:r>
    <w:proofErr w:type="spellEnd"/>
    <w:r w:rsidRPr="005D6804">
      <w:rPr>
        <w:rFonts w:ascii="Times" w:eastAsia="Times" w:hAnsi="Times"/>
        <w:color w:val="000000"/>
        <w:sz w:val="18"/>
        <w:u w:color="000000"/>
        <w:lang w:eastAsia="en-US"/>
      </w:rPr>
      <w:t>:</w:t>
    </w:r>
  </w:p>
  <w:p w14:paraId="1A1564DA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pacing w:after="80"/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info@westfaelische-notarkammer.de</w:t>
    </w:r>
  </w:p>
  <w:p w14:paraId="41CAC195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Internet:</w:t>
    </w:r>
  </w:p>
  <w:p w14:paraId="0130169F" w14:textId="1A71486C" w:rsidR="000E335F" w:rsidRPr="000E335F" w:rsidRDefault="005D6804" w:rsidP="005D6804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www.westfaelische-notarkammer.de</w:t>
    </w:r>
  </w:p>
  <w:p w14:paraId="2CE08371" w14:textId="77777777" w:rsidR="000E335F" w:rsidRPr="000E335F" w:rsidRDefault="00D64EB5" w:rsidP="000E335F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</w:p>
  <w:p w14:paraId="3C1F49F0" w14:textId="77777777" w:rsidR="000E335F" w:rsidRPr="000E335F" w:rsidRDefault="00FD4E2E" w:rsidP="004A5578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eastAsia="Calibri"/>
        <w:sz w:val="26"/>
        <w:szCs w:val="22"/>
        <w:lang w:eastAsia="en-US"/>
      </w:rPr>
    </w:pPr>
    <w:r w:rsidRPr="000E335F">
      <w:rPr>
        <w:rFonts w:eastAsia="Calibri"/>
        <w:sz w:val="26"/>
        <w:szCs w:val="22"/>
        <w:lang w:eastAsia="en-US"/>
      </w:rPr>
      <w:t>PRESSEMITTEILUNG</w:t>
    </w:r>
  </w:p>
  <w:p w14:paraId="176450E6" w14:textId="77777777" w:rsidR="000E335F" w:rsidRPr="000E335F" w:rsidRDefault="00FD4E2E" w:rsidP="000E335F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AC29B" wp14:editId="0668AC1F">
              <wp:simplePos x="0" y="0"/>
              <wp:positionH relativeFrom="page">
                <wp:posOffset>6660515</wp:posOffset>
              </wp:positionH>
              <wp:positionV relativeFrom="page">
                <wp:posOffset>977900</wp:posOffset>
              </wp:positionV>
              <wp:extent cx="899795" cy="146050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9FE5D1" w14:textId="77777777" w:rsidR="000E335F" w:rsidRPr="008F5FE5" w:rsidRDefault="00D64EB5" w:rsidP="000E335F">
                          <w:pPr>
                            <w:ind w:left="-284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AC29B"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26" type="#_x0000_t202" style="position:absolute;margin-left:524.45pt;margin-top:77pt;width:70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" o:allowincell="f" filled="f" stroked="f">
              <v:textbox style="mso-fit-shape-to-text:t" inset=",0,,0">
                <w:txbxContent>
                  <w:p w14:paraId="789FE5D1" w14:textId="77777777" w:rsidR="000E335F" w:rsidRPr="008F5FE5" w:rsidRDefault="00D64EB5" w:rsidP="000E335F">
                    <w:pPr>
                      <w:ind w:left="-284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E80351C" w14:textId="77777777" w:rsidR="000E335F" w:rsidRDefault="00D64E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F5B18"/>
    <w:multiLevelType w:val="hybridMultilevel"/>
    <w:tmpl w:val="451CB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760/12"/>
    <w:docVar w:name="Bemerkung" w:val="Verbraucherrecht_Abgebrochene Verfahren"/>
    <w:docVar w:name="DDNr" w:val="D4/D32-21"/>
    <w:docVar w:name="DDNummerPH" w:val="fehlt"/>
    <w:docVar w:name="dgnword-docGUID" w:val="{C812D176-A72C-4EDE-90A5-78DBA8635570}"/>
    <w:docVar w:name="dgnword-drafile" w:val="C:\Users\CARSTE~1.WRI\AppData\Local\Temp\draD5E2.tmp"/>
    <w:docVar w:name="dgnword-eventsink" w:val="452823528"/>
    <w:docVar w:name="EAStatus" w:val="0"/>
    <w:docVar w:name="Rubrik" w:val="solleer"/>
    <w:docVar w:name="Schlagwort" w:val="solleer"/>
  </w:docVars>
  <w:rsids>
    <w:rsidRoot w:val="009747B1"/>
    <w:rsid w:val="00014728"/>
    <w:rsid w:val="000249ED"/>
    <w:rsid w:val="00033CBA"/>
    <w:rsid w:val="000669FD"/>
    <w:rsid w:val="00081250"/>
    <w:rsid w:val="00082061"/>
    <w:rsid w:val="000A31F2"/>
    <w:rsid w:val="000B3E4D"/>
    <w:rsid w:val="000D0C36"/>
    <w:rsid w:val="000D6FA1"/>
    <w:rsid w:val="000E6A20"/>
    <w:rsid w:val="000F0420"/>
    <w:rsid w:val="0011647C"/>
    <w:rsid w:val="001333A4"/>
    <w:rsid w:val="00146E12"/>
    <w:rsid w:val="00147FE6"/>
    <w:rsid w:val="001635A1"/>
    <w:rsid w:val="001912B0"/>
    <w:rsid w:val="001A0AD8"/>
    <w:rsid w:val="001B3BF3"/>
    <w:rsid w:val="001D33A7"/>
    <w:rsid w:val="001E3313"/>
    <w:rsid w:val="00214CEB"/>
    <w:rsid w:val="00215286"/>
    <w:rsid w:val="00217E34"/>
    <w:rsid w:val="00247F1A"/>
    <w:rsid w:val="002572B0"/>
    <w:rsid w:val="00265BE0"/>
    <w:rsid w:val="0027119F"/>
    <w:rsid w:val="002844A4"/>
    <w:rsid w:val="002C0415"/>
    <w:rsid w:val="002C3D76"/>
    <w:rsid w:val="002E564B"/>
    <w:rsid w:val="002F63BD"/>
    <w:rsid w:val="00311A96"/>
    <w:rsid w:val="003308F4"/>
    <w:rsid w:val="00330AAA"/>
    <w:rsid w:val="003561B7"/>
    <w:rsid w:val="00363556"/>
    <w:rsid w:val="00382BC1"/>
    <w:rsid w:val="00383982"/>
    <w:rsid w:val="00394734"/>
    <w:rsid w:val="00395981"/>
    <w:rsid w:val="00395B78"/>
    <w:rsid w:val="003A4513"/>
    <w:rsid w:val="003C0365"/>
    <w:rsid w:val="003E1932"/>
    <w:rsid w:val="003F3ACE"/>
    <w:rsid w:val="00410359"/>
    <w:rsid w:val="00417927"/>
    <w:rsid w:val="00422476"/>
    <w:rsid w:val="0044253F"/>
    <w:rsid w:val="0047364A"/>
    <w:rsid w:val="004742DA"/>
    <w:rsid w:val="004C4533"/>
    <w:rsid w:val="004C67AA"/>
    <w:rsid w:val="004D266B"/>
    <w:rsid w:val="005002CE"/>
    <w:rsid w:val="00507F90"/>
    <w:rsid w:val="00510C7E"/>
    <w:rsid w:val="005337F8"/>
    <w:rsid w:val="00533850"/>
    <w:rsid w:val="00555C20"/>
    <w:rsid w:val="00595BE8"/>
    <w:rsid w:val="005A3170"/>
    <w:rsid w:val="005B4D42"/>
    <w:rsid w:val="005B7173"/>
    <w:rsid w:val="005D240E"/>
    <w:rsid w:val="005D24DF"/>
    <w:rsid w:val="005D6804"/>
    <w:rsid w:val="005D6FAC"/>
    <w:rsid w:val="0060467C"/>
    <w:rsid w:val="00625F49"/>
    <w:rsid w:val="0063072B"/>
    <w:rsid w:val="00661768"/>
    <w:rsid w:val="00665995"/>
    <w:rsid w:val="00685B21"/>
    <w:rsid w:val="00691C47"/>
    <w:rsid w:val="006943B9"/>
    <w:rsid w:val="0069445B"/>
    <w:rsid w:val="006A2C0A"/>
    <w:rsid w:val="006D093B"/>
    <w:rsid w:val="006E5233"/>
    <w:rsid w:val="006F78A1"/>
    <w:rsid w:val="00735456"/>
    <w:rsid w:val="00743813"/>
    <w:rsid w:val="0074738D"/>
    <w:rsid w:val="00757403"/>
    <w:rsid w:val="0076338B"/>
    <w:rsid w:val="00771242"/>
    <w:rsid w:val="007B1615"/>
    <w:rsid w:val="007C0A84"/>
    <w:rsid w:val="007D3939"/>
    <w:rsid w:val="007D5064"/>
    <w:rsid w:val="007F1D35"/>
    <w:rsid w:val="00834CC7"/>
    <w:rsid w:val="00847435"/>
    <w:rsid w:val="0085379F"/>
    <w:rsid w:val="00872042"/>
    <w:rsid w:val="008B0017"/>
    <w:rsid w:val="008B0E43"/>
    <w:rsid w:val="008B2FA5"/>
    <w:rsid w:val="008F1B7F"/>
    <w:rsid w:val="008F2089"/>
    <w:rsid w:val="008F51F6"/>
    <w:rsid w:val="00914051"/>
    <w:rsid w:val="00927D7E"/>
    <w:rsid w:val="009371FE"/>
    <w:rsid w:val="009747B1"/>
    <w:rsid w:val="009776D9"/>
    <w:rsid w:val="00985866"/>
    <w:rsid w:val="009935E2"/>
    <w:rsid w:val="0099533A"/>
    <w:rsid w:val="009C306E"/>
    <w:rsid w:val="009D4749"/>
    <w:rsid w:val="00A56C18"/>
    <w:rsid w:val="00A5753B"/>
    <w:rsid w:val="00A93545"/>
    <w:rsid w:val="00AA67EE"/>
    <w:rsid w:val="00AB4E03"/>
    <w:rsid w:val="00AC1DAE"/>
    <w:rsid w:val="00AE0EE9"/>
    <w:rsid w:val="00B216EC"/>
    <w:rsid w:val="00B317F1"/>
    <w:rsid w:val="00B40929"/>
    <w:rsid w:val="00B450C8"/>
    <w:rsid w:val="00B535F7"/>
    <w:rsid w:val="00B578B3"/>
    <w:rsid w:val="00B63FD8"/>
    <w:rsid w:val="00B77371"/>
    <w:rsid w:val="00B911FD"/>
    <w:rsid w:val="00BB1F31"/>
    <w:rsid w:val="00BB4751"/>
    <w:rsid w:val="00BE0FC4"/>
    <w:rsid w:val="00C35C98"/>
    <w:rsid w:val="00C37A60"/>
    <w:rsid w:val="00C6366C"/>
    <w:rsid w:val="00C72418"/>
    <w:rsid w:val="00C7753F"/>
    <w:rsid w:val="00C8131A"/>
    <w:rsid w:val="00C81B1D"/>
    <w:rsid w:val="00C85B02"/>
    <w:rsid w:val="00C924D8"/>
    <w:rsid w:val="00C92AF4"/>
    <w:rsid w:val="00CA1D5F"/>
    <w:rsid w:val="00CB5919"/>
    <w:rsid w:val="00CD5B97"/>
    <w:rsid w:val="00CF18B0"/>
    <w:rsid w:val="00D120C0"/>
    <w:rsid w:val="00D13739"/>
    <w:rsid w:val="00D14F6F"/>
    <w:rsid w:val="00D334D5"/>
    <w:rsid w:val="00D5235A"/>
    <w:rsid w:val="00D64EB5"/>
    <w:rsid w:val="00DA49B2"/>
    <w:rsid w:val="00DC57BC"/>
    <w:rsid w:val="00DE0821"/>
    <w:rsid w:val="00DF5F3B"/>
    <w:rsid w:val="00E03418"/>
    <w:rsid w:val="00E173B7"/>
    <w:rsid w:val="00E40B27"/>
    <w:rsid w:val="00E41A9C"/>
    <w:rsid w:val="00E44582"/>
    <w:rsid w:val="00E44635"/>
    <w:rsid w:val="00EB039D"/>
    <w:rsid w:val="00EC0432"/>
    <w:rsid w:val="00EE4B8B"/>
    <w:rsid w:val="00EE5F1F"/>
    <w:rsid w:val="00EF0F94"/>
    <w:rsid w:val="00EF2904"/>
    <w:rsid w:val="00F11FA5"/>
    <w:rsid w:val="00F405BC"/>
    <w:rsid w:val="00F5667D"/>
    <w:rsid w:val="00F7726D"/>
    <w:rsid w:val="00F77CAF"/>
    <w:rsid w:val="00F9191E"/>
    <w:rsid w:val="00FB4427"/>
    <w:rsid w:val="00FC766C"/>
    <w:rsid w:val="00FC780C"/>
    <w:rsid w:val="00FD4E2E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5ABE9"/>
  <w15:chartTrackingRefBased/>
  <w15:docId w15:val="{7219D18C-8C7E-45DA-BC40-B88158AF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36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64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7364A"/>
    <w:rPr>
      <w:rFonts w:ascii="Calibri" w:eastAsia="Calibri" w:hAnsi="Calibri" w:cs="Times New Roman"/>
    </w:rPr>
  </w:style>
  <w:style w:type="character" w:styleId="Hyperlink">
    <w:name w:val="Hyperlink"/>
    <w:unhideWhenUsed/>
    <w:rsid w:val="0047364A"/>
    <w:rPr>
      <w:color w:val="0000FF"/>
      <w:u w:val="single"/>
    </w:rPr>
  </w:style>
  <w:style w:type="paragraph" w:styleId="KeinLeerraum">
    <w:name w:val="No Spacing"/>
    <w:basedOn w:val="Standard"/>
    <w:uiPriority w:val="1"/>
    <w:qFormat/>
    <w:rsid w:val="0047364A"/>
    <w:pPr>
      <w:adjustRightInd/>
      <w:textAlignment w:val="auto"/>
    </w:pPr>
    <w:rPr>
      <w:rFonts w:eastAsia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93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49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49ED"/>
  </w:style>
  <w:style w:type="character" w:customStyle="1" w:styleId="KommentartextZchn">
    <w:name w:val="Kommentartext Zchn"/>
    <w:basedOn w:val="Absatz-Standardschriftart"/>
    <w:link w:val="Kommentartext"/>
    <w:uiPriority w:val="99"/>
    <w:rsid w:val="000249E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9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9E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E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F0F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81250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D68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680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geber-nota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ar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zetp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ngler@azetp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Spengler</dc:creator>
  <cp:keywords/>
  <dc:description/>
  <cp:lastModifiedBy>Spengler, Thomas</cp:lastModifiedBy>
  <cp:revision>27</cp:revision>
  <cp:lastPrinted>2023-03-21T10:28:00Z</cp:lastPrinted>
  <dcterms:created xsi:type="dcterms:W3CDTF">2023-01-10T08:07:00Z</dcterms:created>
  <dcterms:modified xsi:type="dcterms:W3CDTF">2023-11-16T15:18:00Z</dcterms:modified>
</cp:coreProperties>
</file>