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F9D9" w14:textId="3DAC1F60" w:rsidR="00147FE6" w:rsidRPr="00147FE6" w:rsidRDefault="00265BE0" w:rsidP="00147FE6">
      <w:pPr>
        <w:pStyle w:val="KeinLeerraum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Grundschuld </w:t>
      </w:r>
      <w:r w:rsidR="00C35C98">
        <w:rPr>
          <w:b/>
          <w:sz w:val="24"/>
          <w:szCs w:val="24"/>
        </w:rPr>
        <w:t>vereinfacht</w:t>
      </w:r>
      <w:r>
        <w:rPr>
          <w:b/>
          <w:sz w:val="24"/>
          <w:szCs w:val="24"/>
        </w:rPr>
        <w:t xml:space="preserve"> Immobilienfinanzierung</w:t>
      </w:r>
    </w:p>
    <w:p w14:paraId="4D61A962" w14:textId="32A010C1" w:rsidR="0047364A" w:rsidRDefault="00265BE0" w:rsidP="00147FE6">
      <w:pPr>
        <w:pStyle w:val="KeinLeerraum"/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Bei Zahlungsausfall droht Zwangsversteigerung</w:t>
      </w:r>
    </w:p>
    <w:p w14:paraId="36ABF855" w14:textId="77777777" w:rsidR="0047364A" w:rsidRPr="00975DA2" w:rsidRDefault="0047364A" w:rsidP="0047364A">
      <w:pPr>
        <w:tabs>
          <w:tab w:val="left" w:pos="1728"/>
        </w:tabs>
        <w:ind w:left="2835"/>
        <w:rPr>
          <w:b/>
          <w:sz w:val="24"/>
          <w:szCs w:val="24"/>
        </w:rPr>
      </w:pPr>
    </w:p>
    <w:p w14:paraId="029EBADB" w14:textId="75242B9C" w:rsidR="006E5233" w:rsidRDefault="005D6804" w:rsidP="001912B0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Westfälische</w:t>
      </w:r>
      <w:r w:rsidR="0047364A">
        <w:rPr>
          <w:i/>
          <w:iCs/>
          <w:sz w:val="24"/>
          <w:szCs w:val="24"/>
        </w:rPr>
        <w:t xml:space="preserve"> N</w:t>
      </w:r>
      <w:r w:rsidR="0047364A" w:rsidRPr="003B5F40">
        <w:rPr>
          <w:i/>
          <w:iCs/>
          <w:sz w:val="24"/>
          <w:szCs w:val="24"/>
        </w:rPr>
        <w:t>otarkammer</w:t>
      </w:r>
      <w:r w:rsidR="0047364A" w:rsidRPr="003B5F40">
        <w:rPr>
          <w:iCs/>
          <w:sz w:val="24"/>
          <w:szCs w:val="24"/>
        </w:rPr>
        <w:t xml:space="preserve">. </w:t>
      </w:r>
      <w:r w:rsidR="00914051">
        <w:rPr>
          <w:iCs/>
          <w:sz w:val="24"/>
          <w:szCs w:val="24"/>
        </w:rPr>
        <w:t xml:space="preserve">Wer sich den Traum vom eigenen Haus oder einer Wohnung erfüllen möchte, muss meist ein </w:t>
      </w:r>
      <w:r w:rsidR="001912B0">
        <w:rPr>
          <w:iCs/>
          <w:sz w:val="24"/>
          <w:szCs w:val="24"/>
        </w:rPr>
        <w:t>D</w:t>
      </w:r>
      <w:r w:rsidR="00914051">
        <w:rPr>
          <w:iCs/>
          <w:sz w:val="24"/>
          <w:szCs w:val="24"/>
        </w:rPr>
        <w:t>arlehen aufn</w:t>
      </w:r>
      <w:r w:rsidR="00914051" w:rsidRPr="001912B0">
        <w:rPr>
          <w:iCs/>
          <w:sz w:val="24"/>
          <w:szCs w:val="24"/>
        </w:rPr>
        <w:t xml:space="preserve">ehmen. Um sich gegen </w:t>
      </w:r>
      <w:r w:rsidR="001912B0" w:rsidRPr="001912B0">
        <w:rPr>
          <w:iCs/>
          <w:sz w:val="24"/>
          <w:szCs w:val="24"/>
        </w:rPr>
        <w:t>Zahlungsausfälle</w:t>
      </w:r>
      <w:r w:rsidR="00914051" w:rsidRPr="001912B0">
        <w:rPr>
          <w:iCs/>
          <w:sz w:val="24"/>
          <w:szCs w:val="24"/>
        </w:rPr>
        <w:t xml:space="preserve"> abzusichern, lassen Banken </w:t>
      </w:r>
      <w:r w:rsidR="00D13739" w:rsidRPr="001912B0">
        <w:rPr>
          <w:iCs/>
          <w:sz w:val="24"/>
          <w:szCs w:val="24"/>
        </w:rPr>
        <w:t>und finanzierende Versicherer</w:t>
      </w:r>
      <w:r w:rsidR="001912B0" w:rsidRPr="001912B0">
        <w:rPr>
          <w:iCs/>
          <w:sz w:val="24"/>
          <w:szCs w:val="24"/>
        </w:rPr>
        <w:t xml:space="preserve"> </w:t>
      </w:r>
      <w:r w:rsidR="00914051" w:rsidRPr="001912B0">
        <w:rPr>
          <w:iCs/>
          <w:sz w:val="24"/>
          <w:szCs w:val="24"/>
        </w:rPr>
        <w:t>i</w:t>
      </w:r>
      <w:r w:rsidR="001A0AD8">
        <w:rPr>
          <w:iCs/>
          <w:sz w:val="24"/>
          <w:szCs w:val="24"/>
        </w:rPr>
        <w:t>n</w:t>
      </w:r>
      <w:r w:rsidR="00914051" w:rsidRPr="001912B0">
        <w:rPr>
          <w:iCs/>
          <w:sz w:val="24"/>
          <w:szCs w:val="24"/>
        </w:rPr>
        <w:t xml:space="preserve"> aller Regel eine </w:t>
      </w:r>
      <w:r w:rsidR="001912B0" w:rsidRPr="001912B0">
        <w:rPr>
          <w:iCs/>
          <w:sz w:val="24"/>
          <w:szCs w:val="24"/>
        </w:rPr>
        <w:t>vollstreckbare</w:t>
      </w:r>
      <w:r w:rsidR="00914051" w:rsidRPr="001912B0">
        <w:rPr>
          <w:iCs/>
          <w:sz w:val="24"/>
          <w:szCs w:val="24"/>
        </w:rPr>
        <w:t xml:space="preserve"> Grundschuld ins Grundbuch eintragen</w:t>
      </w:r>
      <w:r w:rsidR="001912B0">
        <w:rPr>
          <w:iCs/>
          <w:sz w:val="24"/>
          <w:szCs w:val="24"/>
        </w:rPr>
        <w:t xml:space="preserve">. </w:t>
      </w:r>
      <w:r w:rsidR="007C0A84">
        <w:rPr>
          <w:iCs/>
          <w:sz w:val="24"/>
          <w:szCs w:val="24"/>
        </w:rPr>
        <w:t>Kann das Darlehen nicht vertragsgemäß zurückgezahlt werden, ermöglicht die Grundschuld</w:t>
      </w:r>
      <w:r w:rsidR="001912B0">
        <w:rPr>
          <w:iCs/>
          <w:sz w:val="24"/>
          <w:szCs w:val="24"/>
        </w:rPr>
        <w:t xml:space="preserve"> unter bestimmten Voraussetzungen eine Zwangsversteigerung der Immobilie ohne vorheriges Gerichtsurteil.</w:t>
      </w:r>
      <w:r w:rsidR="007C0A84">
        <w:rPr>
          <w:iCs/>
          <w:sz w:val="24"/>
          <w:szCs w:val="24"/>
        </w:rPr>
        <w:t xml:space="preserve"> Über den Erlös erhält der Kreditgeber sein Geld zurück. </w:t>
      </w:r>
      <w:r w:rsidR="00EB039D">
        <w:rPr>
          <w:iCs/>
          <w:sz w:val="24"/>
          <w:szCs w:val="24"/>
        </w:rPr>
        <w:t xml:space="preserve">Oft ist den Grundschuldbestellern </w:t>
      </w:r>
      <w:r w:rsidR="001912B0">
        <w:rPr>
          <w:iCs/>
          <w:sz w:val="24"/>
          <w:szCs w:val="24"/>
        </w:rPr>
        <w:t xml:space="preserve">zudem </w:t>
      </w:r>
      <w:r w:rsidR="00EB039D">
        <w:rPr>
          <w:iCs/>
          <w:sz w:val="24"/>
          <w:szCs w:val="24"/>
        </w:rPr>
        <w:t xml:space="preserve">nicht bewusst, dass sie auch mit ihrem Lohn </w:t>
      </w:r>
      <w:r w:rsidR="00EF2904">
        <w:rPr>
          <w:iCs/>
          <w:sz w:val="24"/>
          <w:szCs w:val="24"/>
        </w:rPr>
        <w:t xml:space="preserve">und weiterem Vermögen </w:t>
      </w:r>
      <w:r w:rsidR="00EB039D">
        <w:rPr>
          <w:iCs/>
          <w:sz w:val="24"/>
          <w:szCs w:val="24"/>
        </w:rPr>
        <w:t>haften, um die Forderungen der Bank zu erfüllen.</w:t>
      </w:r>
    </w:p>
    <w:p w14:paraId="45BFE1C7" w14:textId="77777777" w:rsidR="001912B0" w:rsidRDefault="001912B0" w:rsidP="001912B0">
      <w:pPr>
        <w:pStyle w:val="KeinLeerraum"/>
        <w:ind w:left="2835"/>
        <w:jc w:val="both"/>
        <w:rPr>
          <w:b/>
          <w:iCs/>
          <w:sz w:val="24"/>
          <w:szCs w:val="24"/>
        </w:rPr>
      </w:pPr>
    </w:p>
    <w:p w14:paraId="3A8FAFEA" w14:textId="7281DE46" w:rsidR="00147FE6" w:rsidRPr="00147FE6" w:rsidRDefault="00AB4E03" w:rsidP="00147FE6">
      <w:pPr>
        <w:pStyle w:val="KeinLeerraum"/>
        <w:ind w:left="283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Vollstreckbare </w:t>
      </w:r>
      <w:r w:rsidR="00EC0432">
        <w:rPr>
          <w:b/>
          <w:iCs/>
          <w:sz w:val="24"/>
          <w:szCs w:val="24"/>
        </w:rPr>
        <w:t>Grundschuld</w:t>
      </w:r>
      <w:r>
        <w:rPr>
          <w:b/>
          <w:iCs/>
          <w:sz w:val="24"/>
          <w:szCs w:val="24"/>
        </w:rPr>
        <w:t xml:space="preserve"> zur Absicherung der Bank</w:t>
      </w:r>
    </w:p>
    <w:p w14:paraId="3ED03999" w14:textId="102C4BCD" w:rsidR="00AB4E03" w:rsidRDefault="00EB039D" w:rsidP="009371FE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Nehmen Käufer oder Bauherren zur Immobilienfinanzierung ein Darlehen auf, muss dieses über ein sogenanntes Grundpfandrecht gesichert sein. Oft handelt es sich hierbei um eine Grundschuld. Die</w:t>
      </w:r>
      <w:r w:rsidR="000E6A20">
        <w:rPr>
          <w:iCs/>
          <w:sz w:val="24"/>
          <w:szCs w:val="24"/>
        </w:rPr>
        <w:t>se</w:t>
      </w:r>
      <w:r>
        <w:rPr>
          <w:iCs/>
          <w:sz w:val="24"/>
          <w:szCs w:val="24"/>
        </w:rPr>
        <w:t xml:space="preserve"> dient allein </w:t>
      </w:r>
      <w:r w:rsidR="00AB4E03">
        <w:rPr>
          <w:iCs/>
          <w:sz w:val="24"/>
          <w:szCs w:val="24"/>
        </w:rPr>
        <w:t>de</w:t>
      </w:r>
      <w:r>
        <w:rPr>
          <w:iCs/>
          <w:sz w:val="24"/>
          <w:szCs w:val="24"/>
        </w:rPr>
        <w:t xml:space="preserve">r Absicherung des </w:t>
      </w:r>
      <w:r w:rsidR="00B216EC">
        <w:rPr>
          <w:iCs/>
          <w:sz w:val="24"/>
          <w:szCs w:val="24"/>
        </w:rPr>
        <w:t>Gläubigers</w:t>
      </w:r>
      <w:r w:rsidR="00D13739">
        <w:rPr>
          <w:iCs/>
          <w:sz w:val="24"/>
          <w:szCs w:val="24"/>
        </w:rPr>
        <w:t xml:space="preserve"> und erleichtert ihm, die Immobilie </w:t>
      </w:r>
      <w:r w:rsidR="007C0A84">
        <w:rPr>
          <w:iCs/>
          <w:sz w:val="24"/>
          <w:szCs w:val="24"/>
        </w:rPr>
        <w:t xml:space="preserve">bei ausbleibenden Ratenzahlungen </w:t>
      </w:r>
      <w:r w:rsidR="00D13739">
        <w:rPr>
          <w:iCs/>
          <w:sz w:val="24"/>
          <w:szCs w:val="24"/>
        </w:rPr>
        <w:t>zu verwerten</w:t>
      </w:r>
      <w:r>
        <w:rPr>
          <w:iCs/>
          <w:sz w:val="24"/>
          <w:szCs w:val="24"/>
        </w:rPr>
        <w:t>.</w:t>
      </w:r>
      <w:r w:rsidR="000E6A20">
        <w:rPr>
          <w:iCs/>
          <w:sz w:val="24"/>
          <w:szCs w:val="24"/>
        </w:rPr>
        <w:t xml:space="preserve"> Hierzu wird im </w:t>
      </w:r>
      <w:r w:rsidR="000E6A20" w:rsidRPr="000E6A20">
        <w:rPr>
          <w:iCs/>
          <w:sz w:val="24"/>
          <w:szCs w:val="24"/>
        </w:rPr>
        <w:t>Grundschuldbestellungsformular</w:t>
      </w:r>
      <w:r w:rsidR="000E6A20">
        <w:rPr>
          <w:iCs/>
          <w:sz w:val="24"/>
          <w:szCs w:val="24"/>
        </w:rPr>
        <w:t xml:space="preserve"> die Unterwerfung unter eine sofortige Zwangsvollstreckung vereinbart</w:t>
      </w:r>
      <w:r w:rsidR="00AB4E03">
        <w:rPr>
          <w:iCs/>
          <w:sz w:val="24"/>
          <w:szCs w:val="24"/>
        </w:rPr>
        <w:t xml:space="preserve">, sodass der </w:t>
      </w:r>
      <w:r w:rsidR="007C0A84">
        <w:rPr>
          <w:iCs/>
          <w:sz w:val="24"/>
          <w:szCs w:val="24"/>
        </w:rPr>
        <w:t>Kredit</w:t>
      </w:r>
      <w:r w:rsidR="00AB4E03">
        <w:rPr>
          <w:iCs/>
          <w:sz w:val="24"/>
          <w:szCs w:val="24"/>
        </w:rPr>
        <w:t xml:space="preserve">geber bei einem Zahlungsausfall ohne Gerichtsurteil die Zwangsversteigerung </w:t>
      </w:r>
      <w:r w:rsidR="00B216EC">
        <w:rPr>
          <w:iCs/>
          <w:sz w:val="24"/>
          <w:szCs w:val="24"/>
        </w:rPr>
        <w:t>einleiten</w:t>
      </w:r>
      <w:r w:rsidR="00AB4E03">
        <w:rPr>
          <w:iCs/>
          <w:sz w:val="24"/>
          <w:szCs w:val="24"/>
        </w:rPr>
        <w:t xml:space="preserve"> kann</w:t>
      </w:r>
      <w:r w:rsidR="00B216EC">
        <w:rPr>
          <w:iCs/>
          <w:sz w:val="24"/>
          <w:szCs w:val="24"/>
        </w:rPr>
        <w:t>.</w:t>
      </w:r>
      <w:r w:rsidR="00FC766C" w:rsidRPr="00FC766C">
        <w:rPr>
          <w:iCs/>
          <w:sz w:val="24"/>
          <w:szCs w:val="24"/>
        </w:rPr>
        <w:t xml:space="preserve"> </w:t>
      </w:r>
      <w:r w:rsidR="00AB4E03">
        <w:rPr>
          <w:iCs/>
          <w:sz w:val="24"/>
          <w:szCs w:val="24"/>
        </w:rPr>
        <w:t>Die</w:t>
      </w:r>
      <w:r w:rsidR="001A0AD8">
        <w:rPr>
          <w:iCs/>
          <w:sz w:val="24"/>
          <w:szCs w:val="24"/>
        </w:rPr>
        <w:t>s setzt jedoch die</w:t>
      </w:r>
      <w:r w:rsidR="001912B0">
        <w:rPr>
          <w:iCs/>
          <w:sz w:val="24"/>
          <w:szCs w:val="24"/>
        </w:rPr>
        <w:t xml:space="preserve"> Kündigung de</w:t>
      </w:r>
      <w:r w:rsidR="0099533A">
        <w:rPr>
          <w:iCs/>
          <w:sz w:val="24"/>
          <w:szCs w:val="24"/>
        </w:rPr>
        <w:t>r Grundschuld</w:t>
      </w:r>
      <w:r w:rsidR="001A0AD8">
        <w:rPr>
          <w:iCs/>
          <w:sz w:val="24"/>
          <w:szCs w:val="24"/>
        </w:rPr>
        <w:t xml:space="preserve"> voraus, die</w:t>
      </w:r>
      <w:r w:rsidR="00AB4E03">
        <w:rPr>
          <w:iCs/>
          <w:sz w:val="24"/>
          <w:szCs w:val="24"/>
        </w:rPr>
        <w:t xml:space="preserve"> </w:t>
      </w:r>
      <w:r w:rsidR="001A0AD8">
        <w:rPr>
          <w:iCs/>
          <w:sz w:val="24"/>
          <w:szCs w:val="24"/>
        </w:rPr>
        <w:t xml:space="preserve">an </w:t>
      </w:r>
      <w:r w:rsidR="00AB4E03">
        <w:rPr>
          <w:iCs/>
          <w:sz w:val="24"/>
          <w:szCs w:val="24"/>
        </w:rPr>
        <w:t xml:space="preserve">strenge Voraussetzungen </w:t>
      </w:r>
      <w:r w:rsidR="001A0AD8">
        <w:rPr>
          <w:iCs/>
          <w:sz w:val="24"/>
          <w:szCs w:val="24"/>
        </w:rPr>
        <w:t>gebunden ist</w:t>
      </w:r>
      <w:r w:rsidR="001912B0">
        <w:rPr>
          <w:iCs/>
          <w:sz w:val="24"/>
          <w:szCs w:val="24"/>
        </w:rPr>
        <w:t>. Anschließend gilt</w:t>
      </w:r>
      <w:r w:rsidR="00AB4E03">
        <w:rPr>
          <w:iCs/>
          <w:sz w:val="24"/>
          <w:szCs w:val="24"/>
        </w:rPr>
        <w:t xml:space="preserve"> eine sechsmonatige Wartezeit vor einer Zwangsversteigerung.</w:t>
      </w:r>
      <w:r w:rsidR="001912B0" w:rsidRPr="001912B0">
        <w:rPr>
          <w:iCs/>
          <w:sz w:val="24"/>
          <w:szCs w:val="24"/>
        </w:rPr>
        <w:t xml:space="preserve"> </w:t>
      </w:r>
      <w:r w:rsidR="001912B0">
        <w:rPr>
          <w:iCs/>
          <w:sz w:val="24"/>
          <w:szCs w:val="24"/>
        </w:rPr>
        <w:t xml:space="preserve">Kommt es zum Verkauf, muss der </w:t>
      </w:r>
      <w:r w:rsidR="007C0A84">
        <w:rPr>
          <w:iCs/>
          <w:sz w:val="24"/>
          <w:szCs w:val="24"/>
        </w:rPr>
        <w:t>Kreditnehmer</w:t>
      </w:r>
      <w:r w:rsidR="001912B0">
        <w:rPr>
          <w:iCs/>
          <w:sz w:val="24"/>
          <w:szCs w:val="24"/>
        </w:rPr>
        <w:t xml:space="preserve"> maximal die offene Restschuld einschließlich nicht beglichener Zinsen zurückzahlen. </w:t>
      </w:r>
      <w:r w:rsidR="00B216EC">
        <w:rPr>
          <w:iCs/>
          <w:sz w:val="24"/>
          <w:szCs w:val="24"/>
        </w:rPr>
        <w:t xml:space="preserve">Darüber hinaus wird oftmals eine persönliche Haftung des </w:t>
      </w:r>
      <w:r w:rsidR="007C0A84">
        <w:rPr>
          <w:iCs/>
          <w:sz w:val="24"/>
          <w:szCs w:val="24"/>
        </w:rPr>
        <w:t>Schuldners</w:t>
      </w:r>
      <w:r w:rsidR="00B216EC">
        <w:rPr>
          <w:iCs/>
          <w:sz w:val="24"/>
          <w:szCs w:val="24"/>
        </w:rPr>
        <w:t xml:space="preserve"> vereinbart, der das Darlehen </w:t>
      </w:r>
      <w:r w:rsidR="00FC766C">
        <w:rPr>
          <w:iCs/>
          <w:sz w:val="24"/>
          <w:szCs w:val="24"/>
        </w:rPr>
        <w:t>nötigen</w:t>
      </w:r>
      <w:r w:rsidR="00B216EC">
        <w:rPr>
          <w:iCs/>
          <w:sz w:val="24"/>
          <w:szCs w:val="24"/>
        </w:rPr>
        <w:t xml:space="preserve">falls auch mit seinen anderen Vermögenswerten abbezahlen muss. </w:t>
      </w:r>
    </w:p>
    <w:p w14:paraId="06A28F86" w14:textId="77777777" w:rsidR="000E6A20" w:rsidRDefault="000E6A20" w:rsidP="009371FE">
      <w:pPr>
        <w:pStyle w:val="KeinLeerraum"/>
        <w:ind w:left="2835"/>
        <w:jc w:val="both"/>
        <w:rPr>
          <w:iCs/>
          <w:sz w:val="24"/>
          <w:szCs w:val="24"/>
        </w:rPr>
      </w:pPr>
    </w:p>
    <w:p w14:paraId="191BA593" w14:textId="54928AEC" w:rsidR="006E5233" w:rsidRDefault="00FC766C" w:rsidP="006E5233">
      <w:pPr>
        <w:pStyle w:val="KeinLeerraum"/>
        <w:ind w:left="283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</w:t>
      </w:r>
      <w:r w:rsidR="006E5233" w:rsidRPr="00363556">
        <w:rPr>
          <w:b/>
          <w:iCs/>
          <w:sz w:val="24"/>
          <w:szCs w:val="24"/>
        </w:rPr>
        <w:t>ang im Grundbuch</w:t>
      </w:r>
      <w:r w:rsidR="006E5233">
        <w:rPr>
          <w:b/>
          <w:iCs/>
          <w:sz w:val="24"/>
          <w:szCs w:val="24"/>
        </w:rPr>
        <w:t xml:space="preserve"> entscheidend für die Absicherung</w:t>
      </w:r>
    </w:p>
    <w:p w14:paraId="14142F0F" w14:textId="5AA88D89" w:rsidR="001333A4" w:rsidRDefault="006E5233" w:rsidP="006E5233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Ein entscheidender Faktor für die Sicherheit, die der Darlehensgeber durch die Grundschuld erhält, ist ihr Rang im Grundbuch. Grundstückseigentümer können dort mehrere Rechte </w:t>
      </w:r>
      <w:r>
        <w:rPr>
          <w:iCs/>
          <w:sz w:val="24"/>
          <w:szCs w:val="24"/>
        </w:rPr>
        <w:lastRenderedPageBreak/>
        <w:t xml:space="preserve">eintragen lassen, die </w:t>
      </w:r>
      <w:r w:rsidR="001A0AD8">
        <w:rPr>
          <w:iCs/>
          <w:sz w:val="24"/>
          <w:szCs w:val="24"/>
        </w:rPr>
        <w:t>bei</w:t>
      </w:r>
      <w:r>
        <w:rPr>
          <w:iCs/>
          <w:sz w:val="24"/>
          <w:szCs w:val="24"/>
        </w:rPr>
        <w:t xml:space="preserve"> einer Verwertung der Reihe nach bedient werden. Das heißt, </w:t>
      </w:r>
      <w:r w:rsidR="001A0AD8">
        <w:rPr>
          <w:iCs/>
          <w:sz w:val="24"/>
          <w:szCs w:val="24"/>
        </w:rPr>
        <w:t>im Falle</w:t>
      </w:r>
      <w:r>
        <w:rPr>
          <w:iCs/>
          <w:sz w:val="24"/>
          <w:szCs w:val="24"/>
        </w:rPr>
        <w:t xml:space="preserve"> einer Zwangsversteigerung werden mit dem Erlös zuerst die Forderungen des ersten Ranges abbezahlt, der somit die höchste Sicherheit bietet.</w:t>
      </w:r>
      <w:r w:rsidRPr="00E40B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Eine Bank wird daher im Regelfall auf eine erstrangige Grundschuld bestehen. Sind dort bereits andere Rechte eingetragen, </w:t>
      </w:r>
      <w:r w:rsidR="00EF2904">
        <w:rPr>
          <w:iCs/>
          <w:sz w:val="24"/>
          <w:szCs w:val="24"/>
        </w:rPr>
        <w:t>verlangt die Bank</w:t>
      </w:r>
      <w:r>
        <w:rPr>
          <w:iCs/>
          <w:sz w:val="24"/>
          <w:szCs w:val="24"/>
        </w:rPr>
        <w:t xml:space="preserve"> oft ein</w:t>
      </w:r>
      <w:r w:rsidR="00EF2904">
        <w:rPr>
          <w:iCs/>
          <w:sz w:val="24"/>
          <w:szCs w:val="24"/>
        </w:rPr>
        <w:t>en</w:t>
      </w:r>
      <w:r>
        <w:rPr>
          <w:iCs/>
          <w:sz w:val="24"/>
          <w:szCs w:val="24"/>
        </w:rPr>
        <w:t xml:space="preserve"> Rücktritt hinter </w:t>
      </w:r>
      <w:r w:rsidR="00EF2904">
        <w:rPr>
          <w:iCs/>
          <w:sz w:val="24"/>
          <w:szCs w:val="24"/>
        </w:rPr>
        <w:t>ihre</w:t>
      </w:r>
      <w:r>
        <w:rPr>
          <w:iCs/>
          <w:sz w:val="24"/>
          <w:szCs w:val="24"/>
        </w:rPr>
        <w:t xml:space="preserve"> Rechte. Auch andere Rechte, die nicht auf eine Zahlung gerichtet sind wie Wohnrecht, verringern den Immobilienwert, da sie im Falle eines Verkaufs vom Käufer weiterhin gewährt werden müssen.</w:t>
      </w:r>
    </w:p>
    <w:p w14:paraId="1DC72256" w14:textId="77777777" w:rsidR="006E5233" w:rsidRPr="006E5233" w:rsidRDefault="006E5233" w:rsidP="006E5233">
      <w:pPr>
        <w:pStyle w:val="KeinLeerraum"/>
        <w:ind w:left="2835"/>
        <w:jc w:val="both"/>
        <w:rPr>
          <w:iCs/>
          <w:sz w:val="24"/>
          <w:szCs w:val="24"/>
        </w:rPr>
      </w:pPr>
    </w:p>
    <w:p w14:paraId="58619C5D" w14:textId="58E2E912" w:rsidR="00FC780C" w:rsidRPr="009371FE" w:rsidRDefault="00363556" w:rsidP="009371FE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Briefgrundschuld spart späteren Kosten- und Zeitaufwand</w:t>
      </w:r>
    </w:p>
    <w:p w14:paraId="2807A766" w14:textId="522ADEFC" w:rsidR="00EC0432" w:rsidRDefault="00EC0432" w:rsidP="00EC0432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Eine Grundschuld kann als Buch- oder als Briefgrundschuld ausgestaltet sein. Die Buchgrundschuld wird mit dem Vermerk „Grundschuld ohne Brief“ lediglich im Grundbuch eingetragen. </w:t>
      </w:r>
      <w:r w:rsidR="00363556">
        <w:rPr>
          <w:iCs/>
          <w:sz w:val="24"/>
          <w:szCs w:val="24"/>
        </w:rPr>
        <w:t xml:space="preserve">Für die spätere Änderung ist ein weiterer, mit Kosten- und Zeitaufwand verbundener Grundbucheintrag notwendig. </w:t>
      </w:r>
      <w:r>
        <w:rPr>
          <w:iCs/>
          <w:sz w:val="24"/>
          <w:szCs w:val="24"/>
        </w:rPr>
        <w:t xml:space="preserve">Bei der Briefgrundschuld </w:t>
      </w:r>
      <w:r w:rsidR="00363556">
        <w:rPr>
          <w:iCs/>
          <w:sz w:val="24"/>
          <w:szCs w:val="24"/>
        </w:rPr>
        <w:t xml:space="preserve">hingegen wird </w:t>
      </w:r>
      <w:r>
        <w:rPr>
          <w:iCs/>
          <w:sz w:val="24"/>
          <w:szCs w:val="24"/>
        </w:rPr>
        <w:t xml:space="preserve">zusätzlich ein Grundschuldbrief ausgestellt, der Urkunde und Wertpapier in einem ist. </w:t>
      </w:r>
      <w:r w:rsidR="00735456" w:rsidRPr="00735456">
        <w:rPr>
          <w:iCs/>
          <w:sz w:val="24"/>
          <w:szCs w:val="24"/>
        </w:rPr>
        <w:t xml:space="preserve">Bis </w:t>
      </w:r>
      <w:r w:rsidR="00735456">
        <w:rPr>
          <w:iCs/>
          <w:sz w:val="24"/>
          <w:szCs w:val="24"/>
        </w:rPr>
        <w:t>das</w:t>
      </w:r>
      <w:r w:rsidR="00735456" w:rsidRPr="00735456">
        <w:rPr>
          <w:iCs/>
          <w:sz w:val="24"/>
          <w:szCs w:val="24"/>
        </w:rPr>
        <w:t xml:space="preserve"> Darlehen komplett abbezahlt </w:t>
      </w:r>
      <w:r w:rsidR="00735456">
        <w:rPr>
          <w:iCs/>
          <w:sz w:val="24"/>
          <w:szCs w:val="24"/>
        </w:rPr>
        <w:t>ist</w:t>
      </w:r>
      <w:r w:rsidR="00735456" w:rsidRPr="00735456">
        <w:rPr>
          <w:iCs/>
          <w:sz w:val="24"/>
          <w:szCs w:val="24"/>
        </w:rPr>
        <w:t xml:space="preserve">, verbleibt der Grundschuldbrief in </w:t>
      </w:r>
      <w:r w:rsidR="00735456">
        <w:rPr>
          <w:iCs/>
          <w:sz w:val="24"/>
          <w:szCs w:val="24"/>
        </w:rPr>
        <w:t>all</w:t>
      </w:r>
      <w:r w:rsidR="00735456" w:rsidRPr="00735456">
        <w:rPr>
          <w:iCs/>
          <w:sz w:val="24"/>
          <w:szCs w:val="24"/>
        </w:rPr>
        <w:t>er Regel bei der Bank.</w:t>
      </w:r>
      <w:r w:rsidR="00F77CAF">
        <w:rPr>
          <w:iCs/>
          <w:sz w:val="24"/>
          <w:szCs w:val="24"/>
        </w:rPr>
        <w:t xml:space="preserve"> </w:t>
      </w:r>
      <w:r w:rsidR="00735456">
        <w:rPr>
          <w:iCs/>
          <w:sz w:val="24"/>
          <w:szCs w:val="24"/>
        </w:rPr>
        <w:t>Obwohl</w:t>
      </w:r>
      <w:r>
        <w:rPr>
          <w:iCs/>
          <w:sz w:val="24"/>
          <w:szCs w:val="24"/>
        </w:rPr>
        <w:t xml:space="preserve"> das Grundbuchamt für die Erteilung des Grundschuldbriefes eine Gebühr</w:t>
      </w:r>
      <w:r w:rsidR="00735456">
        <w:rPr>
          <w:iCs/>
          <w:sz w:val="24"/>
          <w:szCs w:val="24"/>
        </w:rPr>
        <w:t xml:space="preserve"> erhebt, bietet er </w:t>
      </w:r>
      <w:r w:rsidR="00363556">
        <w:rPr>
          <w:iCs/>
          <w:sz w:val="24"/>
          <w:szCs w:val="24"/>
        </w:rPr>
        <w:t xml:space="preserve">nach Abzahlung des Darlehens </w:t>
      </w:r>
      <w:r w:rsidR="00735456">
        <w:rPr>
          <w:iCs/>
          <w:sz w:val="24"/>
          <w:szCs w:val="24"/>
        </w:rPr>
        <w:t xml:space="preserve">einige Vorteile: </w:t>
      </w:r>
      <w:r w:rsidR="00363556">
        <w:rPr>
          <w:iCs/>
          <w:sz w:val="24"/>
          <w:szCs w:val="24"/>
        </w:rPr>
        <w:t xml:space="preserve">So kann die </w:t>
      </w:r>
      <w:r w:rsidR="00735456">
        <w:rPr>
          <w:iCs/>
          <w:sz w:val="24"/>
          <w:szCs w:val="24"/>
        </w:rPr>
        <w:t xml:space="preserve">Briefgrundschuld kostenfrei privatschriftlich oder notariell beglaubigt abgetreten werden, um beispielsweise einen neuen Kredit </w:t>
      </w:r>
      <w:r w:rsidR="001333A4">
        <w:rPr>
          <w:iCs/>
          <w:sz w:val="24"/>
          <w:szCs w:val="24"/>
        </w:rPr>
        <w:t>abzusichern</w:t>
      </w:r>
      <w:r w:rsidR="00735456">
        <w:rPr>
          <w:iCs/>
          <w:sz w:val="24"/>
          <w:szCs w:val="24"/>
        </w:rPr>
        <w:t>.</w:t>
      </w:r>
    </w:p>
    <w:p w14:paraId="4B4B02B1" w14:textId="1451DB66" w:rsidR="00EC0432" w:rsidRDefault="00EC0432" w:rsidP="00EC0432">
      <w:pPr>
        <w:pStyle w:val="KeinLeerraum"/>
        <w:ind w:left="2835"/>
        <w:jc w:val="both"/>
        <w:rPr>
          <w:iCs/>
          <w:sz w:val="24"/>
          <w:szCs w:val="24"/>
        </w:rPr>
      </w:pPr>
    </w:p>
    <w:p w14:paraId="6E026B20" w14:textId="60459BB1" w:rsidR="00CB5919" w:rsidRPr="003A4513" w:rsidRDefault="003A4513" w:rsidP="00EC0432">
      <w:pPr>
        <w:pStyle w:val="KeinLeerraum"/>
        <w:ind w:left="2835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Der </w:t>
      </w:r>
      <w:r w:rsidRPr="003A4513">
        <w:rPr>
          <w:b/>
          <w:iCs/>
          <w:sz w:val="24"/>
          <w:szCs w:val="24"/>
        </w:rPr>
        <w:t xml:space="preserve">Notar </w:t>
      </w:r>
      <w:r>
        <w:rPr>
          <w:b/>
          <w:iCs/>
          <w:sz w:val="24"/>
          <w:szCs w:val="24"/>
        </w:rPr>
        <w:t>führt durch</w:t>
      </w:r>
      <w:r w:rsidRPr="003A4513">
        <w:rPr>
          <w:b/>
          <w:iCs/>
          <w:sz w:val="24"/>
          <w:szCs w:val="24"/>
        </w:rPr>
        <w:t xml:space="preserve"> die Grund</w:t>
      </w:r>
      <w:r w:rsidR="00AE0EE9">
        <w:rPr>
          <w:b/>
          <w:iCs/>
          <w:sz w:val="24"/>
          <w:szCs w:val="24"/>
        </w:rPr>
        <w:t>schuld</w:t>
      </w:r>
      <w:r w:rsidRPr="003A4513">
        <w:rPr>
          <w:b/>
          <w:iCs/>
          <w:sz w:val="24"/>
          <w:szCs w:val="24"/>
        </w:rPr>
        <w:t>bestellung</w:t>
      </w:r>
    </w:p>
    <w:p w14:paraId="6B7166C2" w14:textId="3636C656" w:rsidR="003A4513" w:rsidRDefault="00CB5919" w:rsidP="00EC0432">
      <w:pPr>
        <w:pStyle w:val="KeinLeerraum"/>
        <w:ind w:left="283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Die Bestellung einer Grundschuld setzt stets die Beteiligung eines Notars voraus. </w:t>
      </w:r>
      <w:r w:rsidR="003A4513">
        <w:rPr>
          <w:iCs/>
          <w:sz w:val="24"/>
          <w:szCs w:val="24"/>
        </w:rPr>
        <w:t>Ist</w:t>
      </w:r>
      <w:r>
        <w:rPr>
          <w:iCs/>
          <w:sz w:val="24"/>
          <w:szCs w:val="24"/>
        </w:rPr>
        <w:t xml:space="preserve"> </w:t>
      </w:r>
      <w:r w:rsidR="007C0A84">
        <w:rPr>
          <w:iCs/>
          <w:sz w:val="24"/>
          <w:szCs w:val="24"/>
        </w:rPr>
        <w:t xml:space="preserve">zudem </w:t>
      </w:r>
      <w:r>
        <w:rPr>
          <w:iCs/>
          <w:sz w:val="24"/>
          <w:szCs w:val="24"/>
        </w:rPr>
        <w:t>eine Vereinbarung über eine sofortige Zwangsvollstreckung</w:t>
      </w:r>
      <w:r w:rsidR="003A4513">
        <w:rPr>
          <w:iCs/>
          <w:sz w:val="24"/>
          <w:szCs w:val="24"/>
        </w:rPr>
        <w:t xml:space="preserve"> enthalten</w:t>
      </w:r>
      <w:r>
        <w:rPr>
          <w:iCs/>
          <w:sz w:val="24"/>
          <w:szCs w:val="24"/>
        </w:rPr>
        <w:t xml:space="preserve">, muss die Bestellung verlesen und notariell beurkundet werden. Die Bestellungsurkunde </w:t>
      </w:r>
      <w:r w:rsidR="003A4513">
        <w:rPr>
          <w:iCs/>
          <w:sz w:val="24"/>
          <w:szCs w:val="24"/>
        </w:rPr>
        <w:t>nennt</w:t>
      </w:r>
      <w:r>
        <w:rPr>
          <w:iCs/>
          <w:sz w:val="24"/>
          <w:szCs w:val="24"/>
        </w:rPr>
        <w:t xml:space="preserve"> unter anderem die Höhe der Grundschuld. Das Verfahren selbst läuft standardisiert ab: Der Darlehensgeber erstellt das Grundschuldbestellungsformular und leitet </w:t>
      </w:r>
      <w:r w:rsidR="003A4513">
        <w:rPr>
          <w:iCs/>
          <w:sz w:val="24"/>
          <w:szCs w:val="24"/>
        </w:rPr>
        <w:t>es</w:t>
      </w:r>
      <w:r>
        <w:rPr>
          <w:iCs/>
          <w:sz w:val="24"/>
          <w:szCs w:val="24"/>
        </w:rPr>
        <w:t xml:space="preserve"> an den Notar. </w:t>
      </w:r>
      <w:r w:rsidR="003A4513">
        <w:rPr>
          <w:iCs/>
          <w:sz w:val="24"/>
          <w:szCs w:val="24"/>
        </w:rPr>
        <w:t>Dieser</w:t>
      </w:r>
      <w:r>
        <w:rPr>
          <w:iCs/>
          <w:sz w:val="24"/>
          <w:szCs w:val="24"/>
        </w:rPr>
        <w:t xml:space="preserve"> stellt die Grundschuldbestellungsurkunde aus und reicht </w:t>
      </w:r>
      <w:r w:rsidR="00AE0EE9">
        <w:rPr>
          <w:iCs/>
          <w:sz w:val="24"/>
          <w:szCs w:val="24"/>
        </w:rPr>
        <w:t>sie</w:t>
      </w:r>
      <w:r>
        <w:rPr>
          <w:iCs/>
          <w:sz w:val="24"/>
          <w:szCs w:val="24"/>
        </w:rPr>
        <w:t xml:space="preserve"> nach </w:t>
      </w:r>
      <w:r w:rsidR="00AE0EE9">
        <w:rPr>
          <w:iCs/>
          <w:sz w:val="24"/>
          <w:szCs w:val="24"/>
        </w:rPr>
        <w:t xml:space="preserve">Verlesung, </w:t>
      </w:r>
      <w:r>
        <w:rPr>
          <w:iCs/>
          <w:sz w:val="24"/>
          <w:szCs w:val="24"/>
        </w:rPr>
        <w:t xml:space="preserve">Unterzeichnung durch den </w:t>
      </w:r>
      <w:r w:rsidR="00AE0EE9">
        <w:rPr>
          <w:iCs/>
          <w:sz w:val="24"/>
          <w:szCs w:val="24"/>
        </w:rPr>
        <w:t>Darlehens</w:t>
      </w:r>
      <w:r>
        <w:rPr>
          <w:iCs/>
          <w:sz w:val="24"/>
          <w:szCs w:val="24"/>
        </w:rPr>
        <w:t>nehmer</w:t>
      </w:r>
      <w:r w:rsidR="00AE0EE9">
        <w:rPr>
          <w:iCs/>
          <w:sz w:val="24"/>
          <w:szCs w:val="24"/>
        </w:rPr>
        <w:t xml:space="preserve"> sowie Beurkundung</w:t>
      </w:r>
      <w:r>
        <w:rPr>
          <w:iCs/>
          <w:sz w:val="24"/>
          <w:szCs w:val="24"/>
        </w:rPr>
        <w:t xml:space="preserve"> beim Grundbuchamt ein. </w:t>
      </w:r>
      <w:r w:rsidR="003A4513">
        <w:rPr>
          <w:iCs/>
          <w:sz w:val="24"/>
          <w:szCs w:val="24"/>
        </w:rPr>
        <w:t xml:space="preserve">Das Grundbuchamt trägt die Grundschuld im Grundbuch ein. </w:t>
      </w:r>
      <w:r w:rsidR="00AE0EE9">
        <w:rPr>
          <w:iCs/>
          <w:sz w:val="24"/>
          <w:szCs w:val="24"/>
        </w:rPr>
        <w:t>Der</w:t>
      </w:r>
      <w:r w:rsidR="003A4513">
        <w:rPr>
          <w:iCs/>
          <w:sz w:val="24"/>
          <w:szCs w:val="24"/>
        </w:rPr>
        <w:t xml:space="preserve"> Notar</w:t>
      </w:r>
      <w:r w:rsidR="00AE0EE9">
        <w:rPr>
          <w:iCs/>
          <w:sz w:val="24"/>
          <w:szCs w:val="24"/>
        </w:rPr>
        <w:t xml:space="preserve"> übersendet</w:t>
      </w:r>
      <w:r w:rsidR="003A4513">
        <w:rPr>
          <w:iCs/>
          <w:sz w:val="24"/>
          <w:szCs w:val="24"/>
        </w:rPr>
        <w:t xml:space="preserve"> die Bestellungsurkunde und den aktualisierten Grundbuchauszug an den Kreditgeber </w:t>
      </w:r>
      <w:r w:rsidR="00AE0EE9">
        <w:rPr>
          <w:iCs/>
          <w:sz w:val="24"/>
          <w:szCs w:val="24"/>
        </w:rPr>
        <w:t>und schließt somit die Grundschuldbestellung ab</w:t>
      </w:r>
      <w:r w:rsidR="003A4513">
        <w:rPr>
          <w:iCs/>
          <w:sz w:val="24"/>
          <w:szCs w:val="24"/>
        </w:rPr>
        <w:t xml:space="preserve">. Sowohl beim Grundbuchamt als auch für den Notar </w:t>
      </w:r>
      <w:r w:rsidR="007C0A84">
        <w:rPr>
          <w:iCs/>
          <w:sz w:val="24"/>
          <w:szCs w:val="24"/>
        </w:rPr>
        <w:t>entstehen</w:t>
      </w:r>
      <w:r w:rsidR="003A4513">
        <w:rPr>
          <w:iCs/>
          <w:sz w:val="24"/>
          <w:szCs w:val="24"/>
        </w:rPr>
        <w:t xml:space="preserve"> Kosten, deren Höhe vom Einzelfall abhängt.</w:t>
      </w:r>
    </w:p>
    <w:p w14:paraId="2B912541" w14:textId="77777777" w:rsidR="00533850" w:rsidRDefault="00533850" w:rsidP="00533850">
      <w:pPr>
        <w:pStyle w:val="KeinLeerraum"/>
        <w:ind w:left="2835"/>
        <w:jc w:val="both"/>
        <w:rPr>
          <w:iCs/>
          <w:sz w:val="24"/>
          <w:szCs w:val="24"/>
        </w:rPr>
      </w:pPr>
    </w:p>
    <w:p w14:paraId="1B8ED3E3" w14:textId="338C5C55" w:rsidR="0047364A" w:rsidRDefault="003E1932" w:rsidP="003E1932">
      <w:pPr>
        <w:pStyle w:val="KeinLeerraum"/>
        <w:ind w:left="2835"/>
        <w:jc w:val="both"/>
        <w:rPr>
          <w:iCs/>
          <w:sz w:val="24"/>
          <w:szCs w:val="24"/>
        </w:rPr>
      </w:pPr>
      <w:r w:rsidRPr="00C14E25">
        <w:rPr>
          <w:iCs/>
          <w:sz w:val="24"/>
          <w:szCs w:val="24"/>
        </w:rPr>
        <w:t xml:space="preserve">Wer sich im Vorfeld von einem Notar zu diesem Thema beraten lassen möchte, findet im Internet unter </w:t>
      </w:r>
      <w:hyperlink r:id="rId7" w:history="1">
        <w:r w:rsidR="007F1D35" w:rsidRPr="007F1D35">
          <w:rPr>
            <w:rStyle w:val="Hyperlink"/>
            <w:iCs/>
            <w:sz w:val="24"/>
            <w:szCs w:val="24"/>
          </w:rPr>
          <w:t>https://notar.de/</w:t>
        </w:r>
      </w:hyperlink>
      <w:r w:rsidRPr="00C14E25">
        <w:rPr>
          <w:iCs/>
          <w:sz w:val="24"/>
          <w:szCs w:val="24"/>
        </w:rPr>
        <w:t xml:space="preserve"> den richtigen Ansprechpartner. Besuchen Sie auch das Online-Verbraucherportal der Notarkammer unter </w:t>
      </w:r>
      <w:hyperlink r:id="rId8" w:history="1">
        <w:r w:rsidRPr="00FA0E29">
          <w:rPr>
            <w:rStyle w:val="Hyperlink"/>
            <w:iCs/>
            <w:sz w:val="24"/>
            <w:szCs w:val="24"/>
          </w:rPr>
          <w:t>https://ratgeber-notar.de</w:t>
        </w:r>
      </w:hyperlink>
      <w:r w:rsidR="007F1D35">
        <w:rPr>
          <w:rStyle w:val="Hyperlink"/>
          <w:iCs/>
          <w:sz w:val="24"/>
          <w:szCs w:val="24"/>
        </w:rPr>
        <w:t>/</w:t>
      </w:r>
      <w:r w:rsidRPr="00C14E25">
        <w:rPr>
          <w:iCs/>
          <w:sz w:val="24"/>
          <w:szCs w:val="24"/>
        </w:rPr>
        <w:t>.</w:t>
      </w:r>
    </w:p>
    <w:p w14:paraId="457B2480" w14:textId="77777777" w:rsidR="003E1932" w:rsidRPr="00975DA2" w:rsidRDefault="003E1932" w:rsidP="003E1932">
      <w:pPr>
        <w:pStyle w:val="KeinLeerraum"/>
        <w:ind w:left="2835"/>
        <w:jc w:val="both"/>
        <w:rPr>
          <w:sz w:val="24"/>
          <w:szCs w:val="24"/>
        </w:rPr>
      </w:pPr>
    </w:p>
    <w:p w14:paraId="5163683B" w14:textId="4D4CFAA6" w:rsidR="0047364A" w:rsidRPr="00382BC1" w:rsidRDefault="0047364A" w:rsidP="0047364A">
      <w:pPr>
        <w:ind w:left="2835"/>
        <w:jc w:val="both"/>
        <w:rPr>
          <w:sz w:val="24"/>
          <w:szCs w:val="24"/>
        </w:rPr>
      </w:pPr>
      <w:r w:rsidRPr="00382BC1">
        <w:rPr>
          <w:sz w:val="24"/>
          <w:szCs w:val="24"/>
        </w:rPr>
        <w:t xml:space="preserve">Textumfang ca. </w:t>
      </w:r>
      <w:r w:rsidR="00BE0FC4">
        <w:rPr>
          <w:sz w:val="24"/>
          <w:szCs w:val="24"/>
        </w:rPr>
        <w:t>4</w:t>
      </w:r>
      <w:r w:rsidRPr="00382BC1">
        <w:rPr>
          <w:sz w:val="24"/>
          <w:szCs w:val="24"/>
        </w:rPr>
        <w:t>.</w:t>
      </w:r>
      <w:r w:rsidR="00BE0FC4">
        <w:rPr>
          <w:sz w:val="24"/>
          <w:szCs w:val="24"/>
        </w:rPr>
        <w:t>6</w:t>
      </w:r>
      <w:r w:rsidR="0099533A">
        <w:rPr>
          <w:sz w:val="24"/>
          <w:szCs w:val="24"/>
        </w:rPr>
        <w:t>17</w:t>
      </w:r>
      <w:bookmarkStart w:id="0" w:name="_GoBack"/>
      <w:bookmarkEnd w:id="0"/>
      <w:r w:rsidRPr="00382BC1">
        <w:rPr>
          <w:sz w:val="24"/>
          <w:szCs w:val="24"/>
        </w:rPr>
        <w:t xml:space="preserve"> Zeichen inkl. Leerzeichen</w:t>
      </w:r>
    </w:p>
    <w:p w14:paraId="0EDC4F8B" w14:textId="77777777" w:rsidR="0047364A" w:rsidRPr="00430C64" w:rsidRDefault="0047364A" w:rsidP="0047364A">
      <w:pPr>
        <w:ind w:left="2835"/>
        <w:jc w:val="both"/>
        <w:rPr>
          <w:sz w:val="24"/>
          <w:szCs w:val="24"/>
        </w:rPr>
      </w:pPr>
      <w:r w:rsidRPr="00382BC1">
        <w:rPr>
          <w:sz w:val="24"/>
          <w:szCs w:val="24"/>
        </w:rPr>
        <w:lastRenderedPageBreak/>
        <w:t>Redaktion und Ansprechpartner</w:t>
      </w:r>
      <w:r w:rsidRPr="00430C64">
        <w:rPr>
          <w:sz w:val="24"/>
          <w:szCs w:val="24"/>
        </w:rPr>
        <w:t>:</w:t>
      </w:r>
    </w:p>
    <w:p w14:paraId="34E43787" w14:textId="77777777" w:rsidR="0047364A" w:rsidRPr="00430C64" w:rsidRDefault="0047364A" w:rsidP="0047364A">
      <w:pPr>
        <w:ind w:left="2835"/>
        <w:jc w:val="both"/>
        <w:rPr>
          <w:sz w:val="24"/>
          <w:szCs w:val="24"/>
        </w:rPr>
      </w:pPr>
    </w:p>
    <w:p w14:paraId="3232FA14" w14:textId="77777777" w:rsidR="0047364A" w:rsidRPr="0099533A" w:rsidRDefault="0047364A" w:rsidP="0047364A">
      <w:pPr>
        <w:ind w:left="2835"/>
        <w:jc w:val="both"/>
        <w:rPr>
          <w:sz w:val="24"/>
          <w:szCs w:val="24"/>
        </w:rPr>
      </w:pPr>
      <w:r w:rsidRPr="0099533A">
        <w:rPr>
          <w:sz w:val="24"/>
          <w:szCs w:val="24"/>
        </w:rPr>
        <w:t>Azet</w:t>
      </w:r>
      <w:r w:rsidRPr="0099533A">
        <w:rPr>
          <w:b/>
          <w:sz w:val="24"/>
          <w:szCs w:val="24"/>
        </w:rPr>
        <w:t>PR</w:t>
      </w:r>
    </w:p>
    <w:p w14:paraId="68B0A868" w14:textId="77777777" w:rsidR="0047364A" w:rsidRPr="0099533A" w:rsidRDefault="0047364A" w:rsidP="0047364A">
      <w:pPr>
        <w:ind w:left="2835"/>
        <w:jc w:val="both"/>
        <w:rPr>
          <w:sz w:val="24"/>
          <w:szCs w:val="24"/>
        </w:rPr>
      </w:pPr>
      <w:r w:rsidRPr="0099533A">
        <w:rPr>
          <w:sz w:val="24"/>
          <w:szCs w:val="24"/>
        </w:rPr>
        <w:t>INTERNATIONAL PUBLIC RELATIONS GmbH</w:t>
      </w:r>
    </w:p>
    <w:p w14:paraId="5C398123" w14:textId="77777777" w:rsidR="0047364A" w:rsidRPr="0099533A" w:rsidRDefault="002C3D76" w:rsidP="0047364A">
      <w:pPr>
        <w:ind w:left="2835"/>
        <w:rPr>
          <w:sz w:val="24"/>
          <w:szCs w:val="24"/>
        </w:rPr>
      </w:pPr>
      <w:r w:rsidRPr="0099533A">
        <w:rPr>
          <w:sz w:val="24"/>
          <w:szCs w:val="24"/>
        </w:rPr>
        <w:t>Thomas Spengler</w:t>
      </w:r>
    </w:p>
    <w:p w14:paraId="251BF003" w14:textId="77777777" w:rsidR="0047364A" w:rsidRPr="00430C64" w:rsidRDefault="0047364A" w:rsidP="0047364A">
      <w:pPr>
        <w:ind w:left="2835"/>
        <w:rPr>
          <w:sz w:val="24"/>
          <w:szCs w:val="24"/>
        </w:rPr>
      </w:pPr>
      <w:proofErr w:type="spellStart"/>
      <w:r w:rsidRPr="00430C64">
        <w:rPr>
          <w:sz w:val="24"/>
          <w:szCs w:val="24"/>
        </w:rPr>
        <w:t>Wrangelstraße</w:t>
      </w:r>
      <w:proofErr w:type="spellEnd"/>
      <w:r w:rsidRPr="00430C64">
        <w:rPr>
          <w:sz w:val="24"/>
          <w:szCs w:val="24"/>
        </w:rPr>
        <w:t xml:space="preserve"> 111</w:t>
      </w:r>
      <w:r w:rsidRPr="00430C64">
        <w:rPr>
          <w:sz w:val="24"/>
          <w:szCs w:val="24"/>
        </w:rPr>
        <w:br/>
        <w:t>20253 Hamburg</w:t>
      </w:r>
      <w:r w:rsidRPr="00430C64">
        <w:rPr>
          <w:sz w:val="24"/>
          <w:szCs w:val="24"/>
        </w:rPr>
        <w:br/>
        <w:t>Telefon: 040/41 32 70-</w:t>
      </w:r>
      <w:r w:rsidR="002C3D76">
        <w:rPr>
          <w:sz w:val="24"/>
          <w:szCs w:val="24"/>
        </w:rPr>
        <w:t>21</w:t>
      </w:r>
      <w:r w:rsidRPr="00430C64">
        <w:rPr>
          <w:sz w:val="24"/>
          <w:szCs w:val="24"/>
        </w:rPr>
        <w:br/>
        <w:t>Fax: 040/41 3270-70</w:t>
      </w:r>
    </w:p>
    <w:p w14:paraId="3BD363D4" w14:textId="77777777" w:rsidR="0047364A" w:rsidRPr="00430C64" w:rsidRDefault="0047364A" w:rsidP="0047364A">
      <w:pPr>
        <w:ind w:left="2835"/>
        <w:rPr>
          <w:rStyle w:val="Hyperlink"/>
          <w:sz w:val="24"/>
          <w:szCs w:val="24"/>
        </w:rPr>
      </w:pPr>
      <w:r w:rsidRPr="00430C64">
        <w:rPr>
          <w:sz w:val="24"/>
          <w:szCs w:val="24"/>
        </w:rPr>
        <w:t xml:space="preserve">E-Mail: </w:t>
      </w:r>
      <w:hyperlink r:id="rId9" w:history="1">
        <w:r w:rsidR="002C3D76">
          <w:rPr>
            <w:rStyle w:val="Hyperlink"/>
            <w:sz w:val="24"/>
            <w:szCs w:val="24"/>
          </w:rPr>
          <w:t>spengler@azetpr.com</w:t>
        </w:r>
      </w:hyperlink>
    </w:p>
    <w:p w14:paraId="7F8AC85E" w14:textId="56268416" w:rsidR="003F3ACE" w:rsidRPr="003E1932" w:rsidRDefault="0099533A" w:rsidP="003E1932">
      <w:pPr>
        <w:ind w:left="2835"/>
        <w:rPr>
          <w:sz w:val="24"/>
          <w:szCs w:val="24"/>
        </w:rPr>
      </w:pPr>
      <w:hyperlink r:id="rId10" w:history="1">
        <w:r w:rsidR="0047364A" w:rsidRPr="00AC200D">
          <w:rPr>
            <w:rStyle w:val="Hyperlink"/>
            <w:sz w:val="24"/>
            <w:szCs w:val="24"/>
          </w:rPr>
          <w:t>www.azetpr.com</w:t>
        </w:r>
      </w:hyperlink>
    </w:p>
    <w:sectPr w:rsidR="003F3ACE" w:rsidRPr="003E1932" w:rsidSect="000E335F">
      <w:headerReference w:type="first" r:id="rId11"/>
      <w:pgSz w:w="11906" w:h="16838"/>
      <w:pgMar w:top="1417" w:right="1417" w:bottom="1134" w:left="1417" w:header="62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4A99" w14:textId="77777777" w:rsidR="000F0420" w:rsidRDefault="000F0420">
      <w:r>
        <w:separator/>
      </w:r>
    </w:p>
  </w:endnote>
  <w:endnote w:type="continuationSeparator" w:id="0">
    <w:p w14:paraId="6FB526AE" w14:textId="77777777" w:rsidR="000F0420" w:rsidRDefault="000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2825" w14:textId="77777777" w:rsidR="000F0420" w:rsidRDefault="000F0420">
      <w:r>
        <w:separator/>
      </w:r>
    </w:p>
  </w:footnote>
  <w:footnote w:type="continuationSeparator" w:id="0">
    <w:p w14:paraId="00D30299" w14:textId="77777777" w:rsidR="000F0420" w:rsidRDefault="000F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9833D" w14:textId="77777777" w:rsidR="000E335F" w:rsidRPr="000E335F" w:rsidRDefault="0099533A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0B7CA650" w14:textId="77777777" w:rsidR="000E335F" w:rsidRPr="000E335F" w:rsidRDefault="0099533A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78B77D4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240"/>
      <w:rPr>
        <w:rFonts w:ascii="Times" w:eastAsia="Times" w:hAnsi="Times"/>
        <w:i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i/>
        <w:color w:val="000000"/>
        <w:sz w:val="18"/>
        <w:u w:color="000000"/>
        <w:lang w:eastAsia="en-US"/>
      </w:rPr>
      <w:t>Pressemitteilung - Westfälische Notarkammer</w:t>
    </w:r>
  </w:p>
  <w:p w14:paraId="324CF1B1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59063 Hamm</w:t>
    </w:r>
  </w:p>
  <w:p w14:paraId="4CE0ED7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12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Ostenallee 18</w:t>
    </w:r>
  </w:p>
  <w:p w14:paraId="6C01CF3B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Telefon</w:t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ab/>
      <w:t>02381 / 96959-0</w:t>
    </w:r>
  </w:p>
  <w:p w14:paraId="1C77F9B4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ind w:left="-284" w:firstLine="284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Telefax</w:t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ab/>
      <w:t>02381 / 96959-51</w:t>
    </w:r>
  </w:p>
  <w:p w14:paraId="41B33E31" w14:textId="77777777" w:rsidR="005D6804" w:rsidRPr="005D6804" w:rsidRDefault="005D6804" w:rsidP="005D6804">
    <w:pPr>
      <w:tabs>
        <w:tab w:val="left" w:pos="709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8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Helvetica" w:hAnsi="Times"/>
        <w:color w:val="000000"/>
        <w:spacing w:val="20"/>
        <w:sz w:val="18"/>
        <w:u w:color="000000"/>
        <w:lang w:eastAsia="en-US"/>
      </w:rPr>
      <w:tab/>
    </w:r>
    <w:r w:rsidRPr="005D6804">
      <w:rPr>
        <w:rFonts w:ascii="Times" w:eastAsia="Times" w:hAnsi="Times"/>
        <w:color w:val="000000"/>
        <w:sz w:val="18"/>
        <w:u w:color="000000"/>
        <w:lang w:eastAsia="en-US"/>
      </w:rPr>
      <w:t>02381 / 430696</w:t>
    </w:r>
  </w:p>
  <w:p w14:paraId="1465A270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proofErr w:type="spellStart"/>
    <w:r w:rsidRPr="005D6804">
      <w:rPr>
        <w:rFonts w:ascii="Times" w:eastAsia="Times" w:hAnsi="Times"/>
        <w:color w:val="000000"/>
        <w:sz w:val="18"/>
        <w:u w:color="000000"/>
        <w:lang w:eastAsia="en-US"/>
      </w:rPr>
      <w:t>E.Mail</w:t>
    </w:r>
    <w:proofErr w:type="spellEnd"/>
    <w:r w:rsidRPr="005D6804">
      <w:rPr>
        <w:rFonts w:ascii="Times" w:eastAsia="Times" w:hAnsi="Times"/>
        <w:color w:val="000000"/>
        <w:sz w:val="18"/>
        <w:u w:color="000000"/>
        <w:lang w:eastAsia="en-US"/>
      </w:rPr>
      <w:t>:</w:t>
    </w:r>
  </w:p>
  <w:p w14:paraId="1A1564DA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spacing w:after="80"/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info@westfaelische-notarkammer.de</w:t>
    </w:r>
  </w:p>
  <w:p w14:paraId="41CAC195" w14:textId="77777777" w:rsidR="005D6804" w:rsidRPr="005D6804" w:rsidRDefault="005D6804" w:rsidP="005D6804"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</w:tabs>
      <w:rPr>
        <w:rFonts w:ascii="Times" w:eastAsia="Times" w:hAnsi="Times"/>
        <w:color w:val="000000"/>
        <w:sz w:val="18"/>
        <w:u w:color="000000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Internet:</w:t>
    </w:r>
  </w:p>
  <w:p w14:paraId="0130169F" w14:textId="1A71486C" w:rsidR="000E335F" w:rsidRPr="000E335F" w:rsidRDefault="005D6804" w:rsidP="005D6804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 w:rsidRPr="005D6804">
      <w:rPr>
        <w:rFonts w:ascii="Times" w:eastAsia="Times" w:hAnsi="Times"/>
        <w:color w:val="000000"/>
        <w:sz w:val="18"/>
        <w:u w:color="000000"/>
        <w:lang w:eastAsia="en-US"/>
      </w:rPr>
      <w:t>www.westfaelische-notarkammer.de</w:t>
    </w:r>
  </w:p>
  <w:p w14:paraId="2CE08371" w14:textId="77777777" w:rsidR="000E335F" w:rsidRPr="000E335F" w:rsidRDefault="0099533A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3C1F49F0" w14:textId="77777777" w:rsidR="000E335F" w:rsidRPr="000E335F" w:rsidRDefault="00FD4E2E" w:rsidP="004A5578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eastAsia="Calibri"/>
        <w:sz w:val="26"/>
        <w:szCs w:val="22"/>
        <w:lang w:eastAsia="en-US"/>
      </w:rPr>
    </w:pPr>
    <w:r w:rsidRPr="000E335F">
      <w:rPr>
        <w:rFonts w:eastAsia="Calibri"/>
        <w:sz w:val="26"/>
        <w:szCs w:val="22"/>
        <w:lang w:eastAsia="en-US"/>
      </w:rPr>
      <w:t>PRESSEMITTEILUNG</w:t>
    </w:r>
  </w:p>
  <w:p w14:paraId="176450E6" w14:textId="77777777" w:rsidR="000E335F" w:rsidRPr="000E335F" w:rsidRDefault="00FD4E2E" w:rsidP="000E335F">
    <w:pPr>
      <w:tabs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AC29B" wp14:editId="0668AC1F">
              <wp:simplePos x="0" y="0"/>
              <wp:positionH relativeFrom="page">
                <wp:posOffset>6660515</wp:posOffset>
              </wp:positionH>
              <wp:positionV relativeFrom="page">
                <wp:posOffset>977900</wp:posOffset>
              </wp:positionV>
              <wp:extent cx="899795" cy="146050"/>
              <wp:effectExtent l="0" t="0" r="0" b="0"/>
              <wp:wrapNone/>
              <wp:docPr id="476" name="Textfeld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89FE5D1" w14:textId="77777777" w:rsidR="000E335F" w:rsidRPr="008F5FE5" w:rsidRDefault="0099533A" w:rsidP="000E335F">
                          <w:pPr>
                            <w:ind w:left="-284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AC29B" id="_x0000_t202" coordsize="21600,21600" o:spt="202" path="m,l,21600r21600,l21600,xe">
              <v:stroke joinstyle="miter"/>
              <v:path gradientshapeok="t" o:connecttype="rect"/>
            </v:shapetype>
            <v:shape id="Textfeld 476" o:spid="_x0000_s1026" type="#_x0000_t202" style="position:absolute;margin-left:524.45pt;margin-top:77pt;width:70.8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" o:allowincell="f" filled="f" stroked="f">
              <v:textbox style="mso-fit-shape-to-text:t" inset=",0,,0">
                <w:txbxContent>
                  <w:p w14:paraId="789FE5D1" w14:textId="77777777" w:rsidR="000E335F" w:rsidRPr="008F5FE5" w:rsidRDefault="0099533A" w:rsidP="000E335F">
                    <w:pPr>
                      <w:ind w:left="-284"/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E80351C" w14:textId="77777777" w:rsidR="000E335F" w:rsidRDefault="009953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F5B18"/>
    <w:multiLevelType w:val="hybridMultilevel"/>
    <w:tmpl w:val="451CB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760/12"/>
    <w:docVar w:name="Bemerkung" w:val="Verbraucherrecht_Abgebrochene Verfahren"/>
    <w:docVar w:name="DDNr" w:val="D4/D32-21"/>
    <w:docVar w:name="DDNummerPH" w:val="fehlt"/>
    <w:docVar w:name="dgnword-docGUID" w:val="{C812D176-A72C-4EDE-90A5-78DBA8635570}"/>
    <w:docVar w:name="dgnword-drafile" w:val="C:\Users\CARSTE~1.WRI\AppData\Local\Temp\draD5E2.tmp"/>
    <w:docVar w:name="dgnword-eventsink" w:val="452823528"/>
    <w:docVar w:name="EAStatus" w:val="0"/>
    <w:docVar w:name="Rubrik" w:val="solleer"/>
    <w:docVar w:name="Schlagwort" w:val="solleer"/>
  </w:docVars>
  <w:rsids>
    <w:rsidRoot w:val="009747B1"/>
    <w:rsid w:val="00014728"/>
    <w:rsid w:val="000249ED"/>
    <w:rsid w:val="00033CBA"/>
    <w:rsid w:val="000669FD"/>
    <w:rsid w:val="00081250"/>
    <w:rsid w:val="00082061"/>
    <w:rsid w:val="000B3E4D"/>
    <w:rsid w:val="000D0C36"/>
    <w:rsid w:val="000D6FA1"/>
    <w:rsid w:val="000E6A20"/>
    <w:rsid w:val="000F0420"/>
    <w:rsid w:val="001333A4"/>
    <w:rsid w:val="00146E12"/>
    <w:rsid w:val="00147FE6"/>
    <w:rsid w:val="001635A1"/>
    <w:rsid w:val="001912B0"/>
    <w:rsid w:val="001A0AD8"/>
    <w:rsid w:val="001B3BF3"/>
    <w:rsid w:val="001D33A7"/>
    <w:rsid w:val="001E3313"/>
    <w:rsid w:val="00214CEB"/>
    <w:rsid w:val="00215286"/>
    <w:rsid w:val="00217E34"/>
    <w:rsid w:val="00247F1A"/>
    <w:rsid w:val="002572B0"/>
    <w:rsid w:val="00265BE0"/>
    <w:rsid w:val="0027119F"/>
    <w:rsid w:val="002844A4"/>
    <w:rsid w:val="002C0415"/>
    <w:rsid w:val="002C3D76"/>
    <w:rsid w:val="002E564B"/>
    <w:rsid w:val="002F63BD"/>
    <w:rsid w:val="00311A96"/>
    <w:rsid w:val="003308F4"/>
    <w:rsid w:val="00330AAA"/>
    <w:rsid w:val="003561B7"/>
    <w:rsid w:val="00363556"/>
    <w:rsid w:val="00382BC1"/>
    <w:rsid w:val="00383982"/>
    <w:rsid w:val="00394734"/>
    <w:rsid w:val="00395981"/>
    <w:rsid w:val="00395B78"/>
    <w:rsid w:val="003A4513"/>
    <w:rsid w:val="003C0365"/>
    <w:rsid w:val="003E1932"/>
    <w:rsid w:val="003F3ACE"/>
    <w:rsid w:val="00410359"/>
    <w:rsid w:val="00422476"/>
    <w:rsid w:val="0044253F"/>
    <w:rsid w:val="0047364A"/>
    <w:rsid w:val="004742DA"/>
    <w:rsid w:val="004C4533"/>
    <w:rsid w:val="004D266B"/>
    <w:rsid w:val="005002CE"/>
    <w:rsid w:val="00507F90"/>
    <w:rsid w:val="005337F8"/>
    <w:rsid w:val="00533850"/>
    <w:rsid w:val="00555C20"/>
    <w:rsid w:val="00595BE8"/>
    <w:rsid w:val="005A3170"/>
    <w:rsid w:val="005B4D42"/>
    <w:rsid w:val="005B7173"/>
    <w:rsid w:val="005D240E"/>
    <w:rsid w:val="005D24DF"/>
    <w:rsid w:val="005D6804"/>
    <w:rsid w:val="005D6FAC"/>
    <w:rsid w:val="0060467C"/>
    <w:rsid w:val="00625F49"/>
    <w:rsid w:val="0063072B"/>
    <w:rsid w:val="00661768"/>
    <w:rsid w:val="00665995"/>
    <w:rsid w:val="00685B21"/>
    <w:rsid w:val="00691C47"/>
    <w:rsid w:val="006943B9"/>
    <w:rsid w:val="0069445B"/>
    <w:rsid w:val="006A2C0A"/>
    <w:rsid w:val="006D093B"/>
    <w:rsid w:val="006E5233"/>
    <w:rsid w:val="00735456"/>
    <w:rsid w:val="00743813"/>
    <w:rsid w:val="0074738D"/>
    <w:rsid w:val="00757403"/>
    <w:rsid w:val="0076338B"/>
    <w:rsid w:val="00771242"/>
    <w:rsid w:val="007B1615"/>
    <w:rsid w:val="007C0A84"/>
    <w:rsid w:val="007D3939"/>
    <w:rsid w:val="007F1D35"/>
    <w:rsid w:val="00834CC7"/>
    <w:rsid w:val="00847435"/>
    <w:rsid w:val="0085379F"/>
    <w:rsid w:val="00872042"/>
    <w:rsid w:val="008B0017"/>
    <w:rsid w:val="008B0E43"/>
    <w:rsid w:val="008F1B7F"/>
    <w:rsid w:val="008F2089"/>
    <w:rsid w:val="008F51F6"/>
    <w:rsid w:val="00914051"/>
    <w:rsid w:val="00927D7E"/>
    <w:rsid w:val="009371FE"/>
    <w:rsid w:val="009747B1"/>
    <w:rsid w:val="009776D9"/>
    <w:rsid w:val="00985866"/>
    <w:rsid w:val="009935E2"/>
    <w:rsid w:val="0099533A"/>
    <w:rsid w:val="009D4749"/>
    <w:rsid w:val="00A56C18"/>
    <w:rsid w:val="00A5753B"/>
    <w:rsid w:val="00A93545"/>
    <w:rsid w:val="00AB4E03"/>
    <w:rsid w:val="00AC1DAE"/>
    <w:rsid w:val="00AE0EE9"/>
    <w:rsid w:val="00B216EC"/>
    <w:rsid w:val="00B317F1"/>
    <w:rsid w:val="00B40929"/>
    <w:rsid w:val="00B535F7"/>
    <w:rsid w:val="00B578B3"/>
    <w:rsid w:val="00B63FD8"/>
    <w:rsid w:val="00B911FD"/>
    <w:rsid w:val="00BB1F31"/>
    <w:rsid w:val="00BB4751"/>
    <w:rsid w:val="00BE0FC4"/>
    <w:rsid w:val="00C35C98"/>
    <w:rsid w:val="00C37A60"/>
    <w:rsid w:val="00C6366C"/>
    <w:rsid w:val="00C72418"/>
    <w:rsid w:val="00C7753F"/>
    <w:rsid w:val="00C81B1D"/>
    <w:rsid w:val="00C924D8"/>
    <w:rsid w:val="00C92AF4"/>
    <w:rsid w:val="00CA1D5F"/>
    <w:rsid w:val="00CB5919"/>
    <w:rsid w:val="00CD5B97"/>
    <w:rsid w:val="00CF18B0"/>
    <w:rsid w:val="00D13739"/>
    <w:rsid w:val="00D14F6F"/>
    <w:rsid w:val="00D5235A"/>
    <w:rsid w:val="00DA49B2"/>
    <w:rsid w:val="00DC57BC"/>
    <w:rsid w:val="00DE0821"/>
    <w:rsid w:val="00DF5F3B"/>
    <w:rsid w:val="00E03418"/>
    <w:rsid w:val="00E173B7"/>
    <w:rsid w:val="00E40B27"/>
    <w:rsid w:val="00E41A9C"/>
    <w:rsid w:val="00E44582"/>
    <w:rsid w:val="00E44635"/>
    <w:rsid w:val="00EB039D"/>
    <w:rsid w:val="00EC0432"/>
    <w:rsid w:val="00EE4B8B"/>
    <w:rsid w:val="00EE5F1F"/>
    <w:rsid w:val="00EF0F94"/>
    <w:rsid w:val="00EF2904"/>
    <w:rsid w:val="00F11FA5"/>
    <w:rsid w:val="00F5667D"/>
    <w:rsid w:val="00F7726D"/>
    <w:rsid w:val="00F77CAF"/>
    <w:rsid w:val="00F9191E"/>
    <w:rsid w:val="00FB4427"/>
    <w:rsid w:val="00FC766C"/>
    <w:rsid w:val="00FC780C"/>
    <w:rsid w:val="00FD4E2E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55ABE9"/>
  <w15:chartTrackingRefBased/>
  <w15:docId w15:val="{7219D18C-8C7E-45DA-BC40-B88158AF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36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364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7364A"/>
    <w:rPr>
      <w:rFonts w:ascii="Calibri" w:eastAsia="Calibri" w:hAnsi="Calibri" w:cs="Times New Roman"/>
    </w:rPr>
  </w:style>
  <w:style w:type="character" w:styleId="Hyperlink">
    <w:name w:val="Hyperlink"/>
    <w:unhideWhenUsed/>
    <w:rsid w:val="0047364A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47364A"/>
    <w:pPr>
      <w:adjustRightInd/>
      <w:textAlignment w:val="auto"/>
    </w:pPr>
    <w:rPr>
      <w:rFonts w:eastAsia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09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49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49ED"/>
  </w:style>
  <w:style w:type="character" w:customStyle="1" w:styleId="KommentartextZchn">
    <w:name w:val="Kommentartext Zchn"/>
    <w:basedOn w:val="Absatz-Standardschriftart"/>
    <w:link w:val="Kommentartext"/>
    <w:uiPriority w:val="99"/>
    <w:rsid w:val="000249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49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49E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9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9E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F0F9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z w:val="22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81250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D68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804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geber-nota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ar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zetp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ngler@azetp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Spengler</dc:creator>
  <cp:keywords/>
  <dc:description/>
  <cp:lastModifiedBy>Spengler, Thomas</cp:lastModifiedBy>
  <cp:revision>18</cp:revision>
  <cp:lastPrinted>2023-03-21T10:28:00Z</cp:lastPrinted>
  <dcterms:created xsi:type="dcterms:W3CDTF">2023-01-10T08:07:00Z</dcterms:created>
  <dcterms:modified xsi:type="dcterms:W3CDTF">2023-10-20T10:48:00Z</dcterms:modified>
</cp:coreProperties>
</file>